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80" w:before="240"/>
        <w:jc w:val="center"/>
      </w:pPr>
      <w:r>
        <w:drawing>
          <wp:inline distT="0" distB="0" distL="0" distR="0">
            <wp:extent cx="1333500" cy="1333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2A2F3B"/>
          <w:sz w:val="38"/>
          <w:szCs w:val="38"/>
        </w:rPr>
        <w:t xml:space="preserve">ЧЕКЛИСТ</w:t>
      </w:r>
    </w:p>
    <w:p>
      <w:pPr>
        <w:spacing w:after="120"/>
        <w:jc w:val="center"/>
      </w:pPr>
      <w:r>
        <w:rPr>
          <w:rFonts w:ascii="Arial" w:cs="Arial" w:eastAsia="Arial" w:hAnsi="Arial"/>
          <w:b w:val="false"/>
          <w:bCs w:val="false"/>
          <w:color w:val="2A2F3B"/>
          <w:sz w:val="26"/>
          <w:szCs w:val="26"/>
        </w:rPr>
        <w:t xml:space="preserve">подготовки к участию в электронных торгах</w:t>
      </w:r>
    </w:p>
    <w:p>
      <w:pPr>
        <w:spacing w:after="240"/>
        <w:jc w:val="center"/>
      </w:pPr>
      <w:r>
        <w:rPr>
          <w:rFonts w:ascii="Arial" w:cs="Arial" w:eastAsia="Arial" w:hAnsi="Arial"/>
          <w:i/>
          <w:iCs/>
          <w:color w:val="555555"/>
          <w:sz w:val="22"/>
          <w:szCs w:val="22"/>
        </w:rPr>
        <w:t xml:space="preserve">пошаговый план для успешного участия</w:t>
      </w:r>
    </w:p>
    <w:p>
      <w:pPr>
        <w:pBdr>
          <w:bottom w:val="single" w:color="C8A850" w:sz="12" w:space="1"/>
        </w:pBdr>
        <w:spacing w:after="180"/>
      </w:pPr>
      <w:r>
        <w:rPr>
          <w:sz w:val="2"/>
          <w:szCs w:val="2"/>
        </w:rPr>
        <w:t xml:space="preserve"/>
      </w:r>
    </w:p>
    <w:p>
      <w:pPr>
        <w:spacing w:after="240"/>
        <w:jc w:val="center"/>
      </w:pPr>
      <w:r>
        <w:rPr>
          <w:rFonts w:ascii="Arial" w:cs="Arial" w:eastAsia="Arial" w:hAnsi="Arial"/>
          <w:b/>
          <w:bCs/>
          <w:color w:val="2A2F3B"/>
          <w:sz w:val="20"/>
          <w:szCs w:val="20"/>
        </w:rPr>
        <w:t xml:space="preserve">Правовая основа: </w:t>
      </w:r>
      <w:r>
        <w:rPr>
          <w:rFonts w:ascii="Arial" w:cs="Arial" w:eastAsia="Arial" w:hAnsi="Arial"/>
          <w:i/>
          <w:iCs/>
          <w:color w:val="555555"/>
          <w:sz w:val="20"/>
          <w:szCs w:val="20"/>
        </w:rPr>
        <w:t xml:space="preserve">ФЗ-127, ФЗ-229, ФЗ-178, ФЗ-44, ФЗ-223; Приказ Минэкономразвития № 495</w:t>
      </w:r>
    </w:p>
    <w:tbl>
      <w:tblPr>
        <w:tblW w:type="dxa" w:w="9360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80"/>
              <w:right w:type="dxa" w:w="80"/>
            </w:tcMar>
          </w:tcPr>
          <w:p>
            <w:pPr>
              <w:spacing w:after="120" w:before="0" w:line="30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г.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_________________________</w:t>
            </w:r>
          </w:p>
        </w:tc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80"/>
              <w:bottom w:type="dxa" w:w="80"/>
              <w:right w:type="dxa" w:w="0"/>
            </w:tcMar>
          </w:tcPr>
          <w:p>
            <w:pPr>
              <w:spacing w:after="120" w:before="0" w:line="300"/>
              <w:jc w:val="righ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2A2F3B"/>
                <w:sz w:val="22"/>
                <w:szCs w:val="22"/>
              </w:rPr>
              <w:t xml:space="preserve">«___»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2A2F3B"/>
                <w:sz w:val="22"/>
                <w:szCs w:val="22"/>
              </w:rPr>
              <w:t xml:space="preserve">___________ 2026 г.</w:t>
            </w:r>
          </w:p>
        </w:tc>
      </w:tr>
    </w:tbl>
    <w:p>
      <w:pPr>
        <w:spacing w:after="120" w:before="0" w:line="30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2A2F3B"/>
          <w:sz w:val="22"/>
          <w:szCs w:val="22"/>
        </w:rPr>
        <w:t xml:space="preserve"/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1. ЗА 30 ДНЕЙ ДО ТОРГОВ: РЕГИСТРАЦИЯ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Получить квалифицированную электронную подпись (КЭП) в аккредитованном УЦ.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Установить КриптоПро CSP и плагины для работы с КЭП в браузере.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Зарегистрироваться на нужных ЭТП: Сбербанк-АСТ, РТС-тендер, Росэлторг, B2B-Center, МЭТС, Фабрикант.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Пройти аккредитацию на ЭТП с приложением учредительных документов (для юрлиц) или паспорта (для физлиц).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Зарегистрироваться в ЕИС (для ФЗ-44) или в единой регистрации ЭТП (для банкротства).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Пополнить личный счёт на ЭТП суммой, достаточной для оплаты задатков и сборов.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2. ЗА 10-15 ДНЕЙ: АНАЛИЗ ЛОТА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Изучить извещение о торгах в ЕФРСБ (полный текст, все приложения).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Скачать и проанализировать документацию: положение о реализации, проект ДКП, отчёт об оценке.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Провести проверку имущества в открытых источниках: ЕГРН, реестр залогов нотариата, банк данных ФССП, картотека арбитражных дел.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Изучить дело о банкротстве должника на КАД: судебные акты, отчёты арбитражного управляющего, решения собрания кредиторов.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Провести визуальный осмотр имущества (по возможности).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Оценить рыночную стоимость и сравнить с начальной ценой лота.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Определить предельную цену с учётом рисков и дополнительных расходов.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возможности запросить долги ЖКХ (для недвижимости) через УК/ТСЖ.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3. ЗА 3-5 ДНЕЙ: ПОДГОТОВКА ЗАЯВКИ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Подготовить заявку на участие в торгах по форме документации.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Подготовить полный пакет документов: паспорт, ИНН, документы для подтверждения статуса.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Получить нотариальное согласие супруга (для физлиц в браке при приобретении недвижимости).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Получить решение об одобрении крупной сделки (для юрлиц при необходимости).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Внести задаток на счёт организатора торгов с корректным назначением платежа.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Дождаться подтверждения поступления задатка (1-2 банковских дня).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Убедиться, что КЭП действует и не истечёт до окончания торгов.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Подать заявку через ЭТП в установленные сроки.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Получить подтверждение от организатора торгов о принятии заявки.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4. В ДЕНЬ ТОРГОВ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Быть у компьютера за 30 минут до начала.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Проверить стабильность интернет-соединения, иметь резервный канал.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Иметь под рукой телефон для связи с организатором.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Войти на ЭТП, открыть личный кабинет, подтвердить готовность.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Следить за ходом торгов, своевременно подавать ценовые предложения в пределах предельной цены.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Не превышать предельную цену без дополнительного согласования.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случае победы, скачать протокол о результатах торгов.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5. ПОСЛЕ ТОРГОВ (ПОБЕДА)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Подписать протокол о результатах торгов в срок, установленный документацией (обычно 5 дней).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 течение 30 дней заключить договор купли-продажи с продавцом (арбитражным управляющим).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Оплатить цену по ДКП в установленный срок (не более 30 дней со дня заключения).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Получить передаточный акт и правоустанавливающие документы.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Подать заявление в Росреестр о регистрации перехода права.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Подать заявление в ФССП о снятии арестов, наложенных до процедуры банкротства.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Получить выписку из ЕГРН с записью о переходе права.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Принять имущество по Акту приёма-передачи.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ТС: поставить на учёт в ГИБДД в течение 10 суток.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Для недвижимости с зарегистрированными лицами: направить досудебное требование о выселении.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6. ПОСЛЕ ТОРГОВ (ПОРАЖЕНИЕ)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Дождаться возврата задатка (5 рабочих дней по п. 15 ст. 110 ФЗ-127).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нарушении срока возврата направить претензию организатору торгов.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отсутствии возврата в течение 10 дней подать жалобу в ФАС (ст. 18.1 ФЗ-135).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Проанализировать результаты и скорректировать стратегию для следующих торгов.</w:t>
      </w:r>
    </w:p>
    <w:p>
      <w:pPr>
        <w:spacing w:after="80" w:before="40" w:line="300"/>
        <w:ind w:left="360" w:hanging="180"/>
      </w:pPr>
      <w:r>
        <w:rPr>
          <w:rFonts w:ascii="Arial" w:cs="Arial" w:eastAsia="Arial" w:hAnsi="Arial"/>
          <w:b/>
          <w:bCs/>
          <w:color w:val="C8A850"/>
          <w:sz w:val="22"/>
          <w:szCs w:val="22"/>
        </w:rPr>
        <w:t xml:space="preserve">☐ 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При обнаружении нарушений рассмотреть оспаривание в арбитражном суде (ст. 449 ГК РФ, срок 1 год).</w:t>
      </w:r>
    </w:p>
    <w:p>
      <w:pPr>
        <w:pStyle w:val="Heading1"/>
        <w:pBdr>
          <w:bottom w:val="single" w:color="D6001C" w:sz="8" w:space="4"/>
        </w:pBdr>
        <w:spacing w:after="160" w:before="320" w:line="300"/>
      </w:pPr>
      <w:r>
        <w:rPr>
          <w:rFonts w:ascii="Arial" w:cs="Arial" w:eastAsia="Arial" w:hAnsi="Arial"/>
          <w:b/>
          <w:bCs/>
          <w:color w:val="2A2F3B"/>
          <w:sz w:val="26"/>
          <w:szCs w:val="26"/>
        </w:rPr>
        <w:t xml:space="preserve">ВАЖНЫЕ НАПОМИНАНИЯ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!.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Задаток возвращается в течение 5 рабочих дней с даты подписания протокола о результатах торгов (п. 15 ст. 110 ФЗ-127).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!.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Срок оспаривания результатов торгов 1 год с момента, когда лицо узнало о нарушении (ст. 449 ГК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!.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Реализация имущества банкрота не облагается НДС (пп. 15 п. 2 ст. 146 НК РФ).</w:t>
      </w:r>
    </w:p>
    <w:p>
      <w:pPr>
        <w:spacing w:after="90" w:before="40" w:line="300"/>
      </w:pPr>
      <w:r>
        <w:rPr>
          <w:rFonts w:ascii="Arial" w:cs="Arial" w:eastAsia="Arial" w:hAnsi="Arial"/>
          <w:b/>
          <w:bCs/>
          <w:color w:val="2A2F3B"/>
          <w:sz w:val="22"/>
          <w:szCs w:val="22"/>
        </w:rPr>
        <w:t xml:space="preserve">!.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Все ранее наложенные аресты на имущество должника снимаются при открытии конкурсного производства (ст. 126 ФЗ-127), но на практике требуется подача заявлений в ФССП и Росреестр.</w:t>
      </w:r>
    </w:p>
    <w:p>
      <w:pPr>
        <w:spacing w:after="120" w:before="360"/>
        <w:jc w:val="center"/>
      </w:pPr>
      <w:r>
        <w:drawing>
          <wp:inline distT="0" distB="0" distL="0" distR="0">
            <wp:extent cx="914400" cy="9144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60"/>
        <w:jc w:val="center"/>
      </w:pPr>
      <w:r>
        <w:rPr>
          <w:rFonts w:ascii="Arial" w:cs="Arial" w:eastAsia="Arial" w:hAnsi="Arial"/>
          <w:color w:val="555555"/>
          <w:sz w:val="18"/>
          <w:szCs w:val="18"/>
        </w:rPr>
        <w:t xml:space="preserve">Актуальная редакция и все приложения</w:t>
      </w:r>
    </w:p>
    <w:p>
      <w:pPr>
        <w:spacing w:after="0"/>
        <w:jc w:val="center"/>
      </w:pPr>
      <w:r>
        <w:rPr>
          <w:rFonts w:ascii="Arial" w:cs="Arial" w:eastAsia="Arial" w:hAnsi="Arial"/>
          <w:b/>
          <w:bCs/>
          <w:color w:val="D6001C"/>
          <w:sz w:val="22"/>
          <w:szCs w:val="22"/>
        </w:rPr>
        <w:t xml:space="preserve">lot-click.ru</w:t>
      </w:r>
    </w:p>
    <w:sectPr>
      <w:headerReference w:type="default" r:id="rId7"/>
      <w:footerReference w:type="default" r:id="rId8"/>
      <w:pgSz w:w="11906" w:h="16838" w:orient="portrait"/>
      <w:pgMar w:top="1200" w:right="1200" w:bottom="1440" w:left="1200" w:header="400" w:footer="400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tbl>
    <w:tblPr>
      <w:tblW w:type="dxa" w:w="9360"/>
      <w:tblBorders>
        <w:top w:val="single" w:color="C8A850" w:sz="4"/>
        <w:left w:val="none" w:color="FFFFFF" w:sz="0"/>
        <w:bottom w:val="none" w:color="FFFFFF" w:sz="0"/>
        <w:right w:val="none" w:color="FFFFFF" w:sz="0"/>
        <w:insideH w:val="none" w:color="FFFFFF" w:sz="0"/>
        <w:insideV w:val="none" w:color="FFFFFF" w:sz="0"/>
      </w:tblBorders>
    </w:tblPr>
    <w:tblGrid>
      <w:gridCol w:w="1440"/>
      <w:gridCol w:w="5760"/>
      <w:gridCol w:w="2160"/>
    </w:tblGrid>
    <w:tr>
      <w:tc>
        <w:tcPr>
          <w:tcW w:type="dxa" w:w="144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0"/>
            <w:bottom w:type="dxa" w:w="80"/>
            <w:right w:type="dxa" w:w="80"/>
          </w:tcMar>
          <w:vAlign w:val="center"/>
        </w:tcPr>
        <w:p>
          <w:pPr>
            <w:spacing w:after="0"/>
            <w:jc w:val="left"/>
          </w:pPr>
          <w:r>
            <w:drawing>
              <wp:inline distT="0" distB="0" distL="0" distR="0">
                <wp:extent cx="609600" cy="609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7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80"/>
          </w:tcMar>
          <w:vAlign w:val="center"/>
        </w:tcPr>
        <w:p>
          <w:pPr>
            <w:spacing w:after="30"/>
          </w:pP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t xml:space="preserve">ЛОТ·КЛИК</w:t>
          </w:r>
          <w:r>
            <w:rPr>
              <w:rFonts w:ascii="Arial" w:cs="Arial" w:eastAsia="Arial" w:hAnsi="Arial"/>
              <w:color w:val="555555"/>
              <w:sz w:val="16"/>
              <w:szCs w:val="16"/>
            </w:rPr>
            <w:t xml:space="preserve">  ·  брокерское сопровождение торгов по банкротству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ИП Капустин С.А.   ИНН 590419377214   ОГРНИП 324595800072592</w:t>
          </w:r>
        </w:p>
        <w:p>
          <w:pPr>
            <w:spacing w:after="0"/>
          </w:pPr>
          <w:r>
            <w:rPr>
              <w:rFonts w:ascii="Arial" w:cs="Arial" w:eastAsia="Arial" w:hAnsi="Arial"/>
              <w:color w:val="555555"/>
              <w:sz w:val="15"/>
              <w:szCs w:val="15"/>
            </w:rPr>
            <w:t xml:space="preserve">lot-click.ru  ·  lotclick@mail.ru  ·  +7 (912) 059-90-59  ·  @LOTCLICK</w:t>
          </w:r>
        </w:p>
      </w:tc>
      <w:tc>
        <w:tcPr>
          <w:tcW w:type="dxa" w:w="21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tcMar>
            <w:top w:type="dxa" w:w="80"/>
            <w:left w:type="dxa" w:w="80"/>
            <w:bottom w:type="dxa" w:w="80"/>
            <w:right w:type="dxa" w:w="0"/>
          </w:tcMar>
          <w:vAlign w:val="center"/>
        </w:tcPr>
        <w:p>
          <w:pPr>
            <w:spacing w:after="0"/>
            <w:jc w:val="right"/>
          </w:pP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с.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>
            <w:rPr>
              <w:rFonts w:ascii="Arial" w:cs="Arial" w:eastAsia="Arial" w:hAnsi="Arial"/>
              <w:color w:val="555555"/>
              <w:sz w:val="18"/>
              <w:szCs w:val="18"/>
            </w:rPr>
            <w:t xml:space="preserve"> из </w:t>
          </w:r>
          <w:r>
            <w:rPr>
              <w:rFonts w:ascii="Arial" w:cs="Arial" w:eastAsia="Arial" w:hAnsi="Arial"/>
              <w:b/>
              <w:bCs/>
              <w:color w:val="2A2F3B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60"/>
      <w:jc w:val="center"/>
    </w:pPr>
    <w:r>
      <w:drawing>
        <wp:inline distT="0" distB="0" distL="0" distR="0">
          <wp:extent cx="6286500" cy="504825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20"/>
      <w:outlineLvl w:val="0"/>
    </w:pPr>
    <w:rPr>
      <w:rFonts w:ascii="Arial" w:cs="Arial" w:eastAsia="Arial" w:hAnsi="Arial"/>
      <w:b/>
      <w:bCs/>
      <w:color w:val="2A2F3B"/>
      <w:sz w:val="26"/>
      <w:szCs w:val="26"/>
    </w:rPr>
  </w:style>
  <w:style w:type="paragraph" w:styleId="Heading2">
    <w:name w:val="Heading 2"/>
    <w:basedOn w:val="Normal"/>
    <w:next w:val="Normal"/>
    <w:qFormat/>
    <w:pPr>
      <w:spacing w:after="100" w:before="200"/>
      <w:outlineLvl w:val="1"/>
    </w:pPr>
    <w:rPr>
      <w:rFonts w:ascii="Arial" w:cs="Arial" w:eastAsia="Arial" w:hAnsi="Arial"/>
      <w:b/>
      <w:bCs/>
      <w:color w:val="2A2F3B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e11def6a9b086dce92154835debd50d9a6744366.png"/><Relationship Id="rId10" Type="http://schemas.openxmlformats.org/officeDocument/2006/relationships/image" Target="media/138d511de5ba2b36134d37241733e2703cb4bf44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><Relationship Id="rId0" Type="http://schemas.openxmlformats.org/officeDocument/2006/relationships/image" Target="media/138d511de5ba2b36134d37241733e2703cb4bf44.png"/></Relationships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21286d3f2e45b10fa1a3d14632e576b35860f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Чеклист ЭТП</dc:title>
  <dc:creator>ЛОТ·КЛИК</dc:creator>
  <dc:description>Полный чеклист торгов</dc:description>
  <cp:lastModifiedBy>Un-named</cp:lastModifiedBy>
  <cp:revision>1</cp:revision>
  <dcterms:created xsi:type="dcterms:W3CDTF">2026-04-21T18:47:23.606Z</dcterms:created>
  <dcterms:modified xsi:type="dcterms:W3CDTF">2026-04-21T18:47:23.606Z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