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80" w:before="240"/>
        <w:jc w:val="center"/>
      </w:pPr>
      <w:r>
        <w:drawing>
          <wp:inline distT="0" distB="0" distL="0" distR="0">
            <wp:extent cx="1333500" cy="1333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333500" cy="1333500"/>
                    </a:xfrm>
                    <a:prstGeom prst="rect">
                      <a:avLst/>
                    </a:prstGeom>
                  </pic:spPr>
                </pic:pic>
              </a:graphicData>
            </a:graphic>
          </wp:inline>
        </w:drawing>
      </w:r>
    </w:p>
    <w:p>
      <w:pPr>
        <w:spacing w:after="80"/>
        <w:jc w:val="center"/>
      </w:pPr>
      <w:r>
        <w:rPr>
          <w:rFonts w:ascii="Arial" w:cs="Arial" w:eastAsia="Arial" w:hAnsi="Arial"/>
          <w:b/>
          <w:bCs/>
          <w:color w:val="2A2F3B"/>
          <w:sz w:val="38"/>
          <w:szCs w:val="38"/>
        </w:rPr>
        <w:t xml:space="preserve">ЗАЩИТНЫЕ ОГОВОРКИ</w:t>
      </w:r>
    </w:p>
    <w:p>
      <w:pPr>
        <w:spacing w:after="120"/>
        <w:jc w:val="center"/>
      </w:pPr>
      <w:r>
        <w:rPr>
          <w:rFonts w:ascii="Arial" w:cs="Arial" w:eastAsia="Arial" w:hAnsi="Arial"/>
          <w:b w:val="false"/>
          <w:bCs w:val="false"/>
          <w:color w:val="2A2F3B"/>
          <w:sz w:val="26"/>
          <w:szCs w:val="26"/>
        </w:rPr>
        <w:t xml:space="preserve">стандартные приложения к договорам</w:t>
      </w:r>
    </w:p>
    <w:p>
      <w:pPr>
        <w:spacing w:after="240"/>
        <w:jc w:val="center"/>
      </w:pPr>
      <w:r>
        <w:rPr>
          <w:rFonts w:ascii="Arial" w:cs="Arial" w:eastAsia="Arial" w:hAnsi="Arial"/>
          <w:i/>
          <w:iCs/>
          <w:color w:val="555555"/>
          <w:sz w:val="22"/>
          <w:szCs w:val="22"/>
        </w:rPr>
        <w:t xml:space="preserve">универсальное приложение   ·   используется совместно с основным договором</w:t>
      </w:r>
    </w:p>
    <w:p>
      <w:pPr>
        <w:pBdr>
          <w:bottom w:val="single" w:color="C8A850" w:sz="12" w:space="1"/>
        </w:pBdr>
        <w:spacing w:after="180"/>
      </w:pPr>
      <w:r>
        <w:rPr>
          <w:sz w:val="2"/>
          <w:szCs w:val="2"/>
        </w:rPr>
        <w:t xml:space="preserve"/>
      </w:r>
    </w:p>
    <w:p>
      <w:pPr>
        <w:spacing w:after="240"/>
        <w:jc w:val="center"/>
      </w:pPr>
      <w:r>
        <w:rPr>
          <w:rFonts w:ascii="Arial" w:cs="Arial" w:eastAsia="Arial" w:hAnsi="Arial"/>
          <w:b/>
          <w:bCs/>
          <w:color w:val="2A2F3B"/>
          <w:sz w:val="20"/>
          <w:szCs w:val="20"/>
        </w:rPr>
        <w:t xml:space="preserve">Правовая основа: </w:t>
      </w:r>
      <w:r>
        <w:rPr>
          <w:rFonts w:ascii="Arial" w:cs="Arial" w:eastAsia="Arial" w:hAnsi="Arial"/>
          <w:i/>
          <w:iCs/>
          <w:color w:val="555555"/>
          <w:sz w:val="20"/>
          <w:szCs w:val="20"/>
        </w:rPr>
        <w:t xml:space="preserve">ст. 10, 431.2, 431.1 ГК РФ (заверения об обстоятельствах)</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4680"/>
        <w:gridCol w:w="4680"/>
      </w:tblGrid>
      <w:tr>
        <w:tc>
          <w:tcPr>
            <w:tcW w:type="dxa" w:w="4680"/>
            <w:tcBorders>
              <w:top w:val="none" w:color="FFFFFF" w:sz="0"/>
              <w:left w:val="none" w:color="FFFFFF" w:sz="0"/>
              <w:bottom w:val="none" w:color="FFFFFF" w:sz="0"/>
              <w:right w:val="none" w:color="FFFFFF" w:sz="0"/>
            </w:tcBorders>
            <w:tcMar>
              <w:top w:type="dxa" w:w="80"/>
              <w:left w:type="dxa" w:w="0"/>
              <w:bottom w:type="dxa" w:w="80"/>
              <w:right w:type="dxa" w:w="80"/>
            </w:tcMar>
          </w:tcPr>
          <w:p>
            <w:pPr>
              <w:spacing w:after="120" w:before="0" w:line="300"/>
              <w:jc w:val="left"/>
            </w:pPr>
            <w:r>
              <w:rPr>
                <w:rFonts w:ascii="Arial" w:cs="Arial" w:eastAsia="Arial" w:hAnsi="Arial"/>
                <w:b/>
                <w:bCs/>
                <w:i w:val="false"/>
                <w:iCs w:val="false"/>
                <w:color w:val="2A2F3B"/>
                <w:sz w:val="22"/>
                <w:szCs w:val="22"/>
              </w:rPr>
              <w:t xml:space="preserve">г. </w:t>
            </w:r>
            <w:r>
              <w:rPr>
                <w:rFonts w:ascii="Arial" w:cs="Arial" w:eastAsia="Arial" w:hAnsi="Arial"/>
                <w:b w:val="false"/>
                <w:bCs w:val="false"/>
                <w:i w:val="false"/>
                <w:iCs w:val="false"/>
                <w:color w:val="2A2F3B"/>
                <w:sz w:val="22"/>
                <w:szCs w:val="22"/>
              </w:rPr>
              <w:t xml:space="preserve">_________________________</w:t>
            </w:r>
          </w:p>
        </w:tc>
        <w:tc>
          <w:tcPr>
            <w:tcW w:type="dxa" w:w="4680"/>
            <w:tcBorders>
              <w:top w:val="none" w:color="FFFFFF" w:sz="0"/>
              <w:left w:val="none" w:color="FFFFFF" w:sz="0"/>
              <w:bottom w:val="none" w:color="FFFFFF" w:sz="0"/>
              <w:right w:val="none" w:color="FFFFFF" w:sz="0"/>
            </w:tcBorders>
            <w:tcMar>
              <w:top w:type="dxa" w:w="80"/>
              <w:left w:type="dxa" w:w="80"/>
              <w:bottom w:type="dxa" w:w="80"/>
              <w:right w:type="dxa" w:w="0"/>
            </w:tcMar>
          </w:tcPr>
          <w:p>
            <w:pPr>
              <w:spacing w:after="120" w:before="0" w:line="300"/>
              <w:jc w:val="right"/>
            </w:pPr>
            <w:r>
              <w:rPr>
                <w:rFonts w:ascii="Arial" w:cs="Arial" w:eastAsia="Arial" w:hAnsi="Arial"/>
                <w:b/>
                <w:bCs/>
                <w:i w:val="false"/>
                <w:iCs w:val="false"/>
                <w:color w:val="2A2F3B"/>
                <w:sz w:val="22"/>
                <w:szCs w:val="22"/>
              </w:rPr>
              <w:t xml:space="preserve">«___» </w:t>
            </w:r>
            <w:r>
              <w:rPr>
                <w:rFonts w:ascii="Arial" w:cs="Arial" w:eastAsia="Arial" w:hAnsi="Arial"/>
                <w:b w:val="false"/>
                <w:bCs w:val="false"/>
                <w:i w:val="false"/>
                <w:iCs w:val="false"/>
                <w:color w:val="2A2F3B"/>
                <w:sz w:val="22"/>
                <w:szCs w:val="22"/>
              </w:rPr>
              <w:t xml:space="preserve">___________ 2026 г.</w:t>
            </w:r>
          </w:p>
        </w:tc>
      </w:tr>
    </w:tbl>
    <w:p>
      <w:pPr>
        <w:spacing w:after="120" w:before="0" w:line="300"/>
        <w:jc w:val="left"/>
      </w:pPr>
      <w:r>
        <w:rPr>
          <w:rFonts w:ascii="Arial" w:cs="Arial" w:eastAsia="Arial" w:hAnsi="Arial"/>
          <w:b w:val="false"/>
          <w:bCs w:val="false"/>
          <w:i w:val="false"/>
          <w:iCs w:val="false"/>
          <w:color w:val="2A2F3B"/>
          <w:sz w:val="22"/>
          <w:szCs w:val="22"/>
        </w:rPr>
        <w:t xml:space="preserve"/>
      </w:r>
    </w:p>
    <w:p>
      <w:pPr>
        <w:pStyle w:val="Heading1"/>
        <w:pBdr>
          <w:bottom w:val="single" w:color="D6001C" w:sz="8" w:space="4"/>
        </w:pBdr>
        <w:spacing w:after="160" w:before="320" w:line="300"/>
      </w:pPr>
      <w:r>
        <w:rPr>
          <w:rFonts w:ascii="Arial" w:cs="Arial" w:eastAsia="Arial" w:hAnsi="Arial"/>
          <w:b/>
          <w:bCs/>
          <w:color w:val="2A2F3B"/>
          <w:sz w:val="26"/>
          <w:szCs w:val="26"/>
        </w:rPr>
        <w:t xml:space="preserve">1. ЗАВЕРЕНИЯ СТОРОН ОБ ОБСТОЯТЕЛЬСТВАХ (ст. 431.2 ГК РФ)</w:t>
      </w:r>
    </w:p>
    <w:p>
      <w:pPr>
        <w:spacing w:after="90" w:before="40" w:line="300"/>
      </w:pPr>
      <w:r>
        <w:rPr>
          <w:rFonts w:ascii="Arial" w:cs="Arial" w:eastAsia="Arial" w:hAnsi="Arial"/>
          <w:b/>
          <w:bCs/>
          <w:color w:val="2A2F3B"/>
          <w:sz w:val="22"/>
          <w:szCs w:val="22"/>
        </w:rPr>
        <w:t xml:space="preserve">1.1. </w:t>
      </w:r>
      <w:r>
        <w:rPr>
          <w:rFonts w:ascii="Arial" w:cs="Arial" w:eastAsia="Arial" w:hAnsi="Arial"/>
          <w:color w:val="333333"/>
          <w:sz w:val="22"/>
          <w:szCs w:val="22"/>
        </w:rPr>
        <w:t xml:space="preserve">Стороны заверяют друг друга, что:</w:t>
      </w:r>
    </w:p>
    <w:p>
      <w:pPr>
        <w:spacing w:after="70" w:before="30" w:line="300"/>
        <w:ind w:left="360" w:hanging="180"/>
      </w:pPr>
      <w:r>
        <w:rPr>
          <w:rFonts w:ascii="Arial" w:cs="Arial" w:eastAsia="Arial" w:hAnsi="Arial"/>
          <w:b/>
          <w:bCs/>
          <w:color w:val="2A2F3B"/>
          <w:sz w:val="22"/>
          <w:szCs w:val="22"/>
        </w:rPr>
        <w:t xml:space="preserve">1.1.1. </w:t>
      </w:r>
      <w:r>
        <w:rPr>
          <w:rFonts w:ascii="Arial" w:cs="Arial" w:eastAsia="Arial" w:hAnsi="Arial"/>
          <w:color w:val="333333"/>
          <w:sz w:val="22"/>
          <w:szCs w:val="22"/>
        </w:rPr>
        <w:t xml:space="preserve">обладают правоспособностью и дееспособностью, необходимыми для заключения Договора;</w:t>
      </w:r>
    </w:p>
    <w:p>
      <w:pPr>
        <w:spacing w:after="70" w:before="30" w:line="300"/>
        <w:ind w:left="360" w:hanging="180"/>
      </w:pPr>
      <w:r>
        <w:rPr>
          <w:rFonts w:ascii="Arial" w:cs="Arial" w:eastAsia="Arial" w:hAnsi="Arial"/>
          <w:b/>
          <w:bCs/>
          <w:color w:val="2A2F3B"/>
          <w:sz w:val="22"/>
          <w:szCs w:val="22"/>
        </w:rPr>
        <w:t xml:space="preserve">1.1.2. </w:t>
      </w:r>
      <w:r>
        <w:rPr>
          <w:rFonts w:ascii="Arial" w:cs="Arial" w:eastAsia="Arial" w:hAnsi="Arial"/>
          <w:color w:val="333333"/>
          <w:sz w:val="22"/>
          <w:szCs w:val="22"/>
        </w:rPr>
        <w:t xml:space="preserve">получили все корпоративные одобрения, требующиеся для заключения Договора (для юридических лиц);</w:t>
      </w:r>
    </w:p>
    <w:p>
      <w:pPr>
        <w:spacing w:after="70" w:before="30" w:line="300"/>
        <w:ind w:left="360" w:hanging="180"/>
      </w:pPr>
      <w:r>
        <w:rPr>
          <w:rFonts w:ascii="Arial" w:cs="Arial" w:eastAsia="Arial" w:hAnsi="Arial"/>
          <w:b/>
          <w:bCs/>
          <w:color w:val="2A2F3B"/>
          <w:sz w:val="22"/>
          <w:szCs w:val="22"/>
        </w:rPr>
        <w:t xml:space="preserve">1.1.3. </w:t>
      </w:r>
      <w:r>
        <w:rPr>
          <w:rFonts w:ascii="Arial" w:cs="Arial" w:eastAsia="Arial" w:hAnsi="Arial"/>
          <w:color w:val="333333"/>
          <w:sz w:val="22"/>
          <w:szCs w:val="22"/>
        </w:rPr>
        <w:t xml:space="preserve">не находятся в процедуре банкротства, ликвидации, принудительной реорганизации, и заявления о введении таких процедур не поданы;</w:t>
      </w:r>
    </w:p>
    <w:p>
      <w:pPr>
        <w:spacing w:after="70" w:before="30" w:line="300"/>
        <w:ind w:left="360" w:hanging="180"/>
      </w:pPr>
      <w:r>
        <w:rPr>
          <w:rFonts w:ascii="Arial" w:cs="Arial" w:eastAsia="Arial" w:hAnsi="Arial"/>
          <w:b/>
          <w:bCs/>
          <w:color w:val="2A2F3B"/>
          <w:sz w:val="22"/>
          <w:szCs w:val="22"/>
        </w:rPr>
        <w:t xml:space="preserve">1.1.4. </w:t>
      </w:r>
      <w:r>
        <w:rPr>
          <w:rFonts w:ascii="Arial" w:cs="Arial" w:eastAsia="Arial" w:hAnsi="Arial"/>
          <w:color w:val="333333"/>
          <w:sz w:val="22"/>
          <w:szCs w:val="22"/>
        </w:rPr>
        <w:t xml:space="preserve">не имеют ограничений на распоряжение имуществом, переходящим по Договору;</w:t>
      </w:r>
    </w:p>
    <w:p>
      <w:pPr>
        <w:spacing w:after="70" w:before="30" w:line="300"/>
        <w:ind w:left="360" w:hanging="180"/>
      </w:pPr>
      <w:r>
        <w:rPr>
          <w:rFonts w:ascii="Arial" w:cs="Arial" w:eastAsia="Arial" w:hAnsi="Arial"/>
          <w:b/>
          <w:bCs/>
          <w:color w:val="2A2F3B"/>
          <w:sz w:val="22"/>
          <w:szCs w:val="22"/>
        </w:rPr>
        <w:t xml:space="preserve">1.1.5. </w:t>
      </w:r>
      <w:r>
        <w:rPr>
          <w:rFonts w:ascii="Arial" w:cs="Arial" w:eastAsia="Arial" w:hAnsi="Arial"/>
          <w:color w:val="333333"/>
          <w:sz w:val="22"/>
          <w:szCs w:val="22"/>
        </w:rPr>
        <w:t xml:space="preserve">все представленные другой Стороне документы являются подлинными и достоверными;</w:t>
      </w:r>
    </w:p>
    <w:p>
      <w:pPr>
        <w:spacing w:after="70" w:before="30" w:line="300"/>
        <w:ind w:left="360" w:hanging="180"/>
      </w:pPr>
      <w:r>
        <w:rPr>
          <w:rFonts w:ascii="Arial" w:cs="Arial" w:eastAsia="Arial" w:hAnsi="Arial"/>
          <w:b/>
          <w:bCs/>
          <w:color w:val="2A2F3B"/>
          <w:sz w:val="22"/>
          <w:szCs w:val="22"/>
        </w:rPr>
        <w:t xml:space="preserve">1.1.6. </w:t>
      </w:r>
      <w:r>
        <w:rPr>
          <w:rFonts w:ascii="Arial" w:cs="Arial" w:eastAsia="Arial" w:hAnsi="Arial"/>
          <w:color w:val="333333"/>
          <w:sz w:val="22"/>
          <w:szCs w:val="22"/>
        </w:rPr>
        <w:t xml:space="preserve">не являются иностранными агентами и не находятся в санкционных списках РФ;</w:t>
      </w:r>
    </w:p>
    <w:p>
      <w:pPr>
        <w:spacing w:after="70" w:before="30" w:line="300"/>
        <w:ind w:left="360" w:hanging="180"/>
      </w:pPr>
      <w:r>
        <w:rPr>
          <w:rFonts w:ascii="Arial" w:cs="Arial" w:eastAsia="Arial" w:hAnsi="Arial"/>
          <w:b/>
          <w:bCs/>
          <w:color w:val="2A2F3B"/>
          <w:sz w:val="22"/>
          <w:szCs w:val="22"/>
        </w:rPr>
        <w:t xml:space="preserve">1.1.7. </w:t>
      </w:r>
      <w:r>
        <w:rPr>
          <w:rFonts w:ascii="Arial" w:cs="Arial" w:eastAsia="Arial" w:hAnsi="Arial"/>
          <w:color w:val="333333"/>
          <w:sz w:val="22"/>
          <w:szCs w:val="22"/>
        </w:rPr>
        <w:t xml:space="preserve">источник денежных средств для сделки является законным и не связан с легализацией доходов, полученных преступным путём (ФЗ-115).</w:t>
      </w:r>
    </w:p>
    <w:p>
      <w:pPr>
        <w:spacing w:after="90" w:before="40" w:line="300"/>
      </w:pPr>
      <w:r>
        <w:rPr>
          <w:rFonts w:ascii="Arial" w:cs="Arial" w:eastAsia="Arial" w:hAnsi="Arial"/>
          <w:b/>
          <w:bCs/>
          <w:color w:val="2A2F3B"/>
          <w:sz w:val="22"/>
          <w:szCs w:val="22"/>
        </w:rPr>
        <w:t xml:space="preserve">1.2. </w:t>
      </w:r>
      <w:r>
        <w:rPr>
          <w:rFonts w:ascii="Arial" w:cs="Arial" w:eastAsia="Arial" w:hAnsi="Arial"/>
          <w:color w:val="333333"/>
          <w:sz w:val="22"/>
          <w:szCs w:val="22"/>
        </w:rPr>
        <w:t xml:space="preserve">Сторона, давшая недостоверные заверения об обстоятельствах, имеющих значение для заключения Договора, его исполнения или прекращения, обязана возместить другой Стороне по её требованию убытки, причинённые недостоверностью таких заверений, или уплатить предусмотренную Договором неустойку (п. 1 ст. 431.2 ГК РФ).</w:t>
      </w:r>
    </w:p>
    <w:p>
      <w:pPr>
        <w:pStyle w:val="Heading1"/>
        <w:pBdr>
          <w:bottom w:val="single" w:color="D6001C" w:sz="8" w:space="4"/>
        </w:pBdr>
        <w:spacing w:after="160" w:before="320" w:line="300"/>
      </w:pPr>
      <w:r>
        <w:rPr>
          <w:rFonts w:ascii="Arial" w:cs="Arial" w:eastAsia="Arial" w:hAnsi="Arial"/>
          <w:b/>
          <w:bCs/>
          <w:color w:val="2A2F3B"/>
          <w:sz w:val="26"/>
          <w:szCs w:val="26"/>
        </w:rPr>
        <w:t xml:space="preserve">2. ОБСТОЯТЕЛЬСТВА, ИЗМЕНЯЮЩИЕ УСЛОВИЯ ДОГОВОРА (ст. 451 ГК РФ)</w:t>
      </w:r>
    </w:p>
    <w:p>
      <w:pPr>
        <w:spacing w:after="90" w:before="40" w:line="300"/>
      </w:pPr>
      <w:r>
        <w:rPr>
          <w:rFonts w:ascii="Arial" w:cs="Arial" w:eastAsia="Arial" w:hAnsi="Arial"/>
          <w:b/>
          <w:bCs/>
          <w:color w:val="2A2F3B"/>
          <w:sz w:val="22"/>
          <w:szCs w:val="22"/>
        </w:rPr>
        <w:t xml:space="preserve">2.1. </w:t>
      </w:r>
      <w:r>
        <w:rPr>
          <w:rFonts w:ascii="Arial" w:cs="Arial" w:eastAsia="Arial" w:hAnsi="Arial"/>
          <w:color w:val="333333"/>
          <w:sz w:val="22"/>
          <w:szCs w:val="22"/>
        </w:rPr>
        <w:t xml:space="preserve">Существенным изменением обстоятельств, дающим Сторонам право требовать изменения или расторжения Договора в судебном порядке (ст. 451 ГК РФ), признаются: введение процедуры банкротства в отношении одной из Сторон; существенное изменение законодательства, делающее невозможным исполнение Договора; блокирование счёта одной из Сторон на срок более 30 дней; иные обстоятельства, изменение которых Стороны не могли разумно предвидеть.</w:t>
      </w:r>
    </w:p>
    <w:p>
      <w:pPr>
        <w:spacing w:after="90" w:before="40" w:line="300"/>
      </w:pPr>
      <w:r>
        <w:rPr>
          <w:rFonts w:ascii="Arial" w:cs="Arial" w:eastAsia="Arial" w:hAnsi="Arial"/>
          <w:b/>
          <w:bCs/>
          <w:color w:val="2A2F3B"/>
          <w:sz w:val="22"/>
          <w:szCs w:val="22"/>
        </w:rPr>
        <w:t xml:space="preserve">2.2. </w:t>
      </w:r>
      <w:r>
        <w:rPr>
          <w:rFonts w:ascii="Arial" w:cs="Arial" w:eastAsia="Arial" w:hAnsi="Arial"/>
          <w:color w:val="333333"/>
          <w:sz w:val="22"/>
          <w:szCs w:val="22"/>
        </w:rPr>
        <w:t xml:space="preserve">Не признаётся существенным изменением обстоятельств: колебания курсов валют; изменение рыночной конъюнктуры; изменение личных обстоятельств Сторон, не препятствующих исполнению Договора.</w:t>
      </w:r>
    </w:p>
    <w:p>
      <w:pPr>
        <w:pStyle w:val="Heading1"/>
        <w:pBdr>
          <w:bottom w:val="single" w:color="D6001C" w:sz="8" w:space="4"/>
        </w:pBdr>
        <w:spacing w:after="160" w:before="320" w:line="300"/>
      </w:pPr>
      <w:r>
        <w:rPr>
          <w:rFonts w:ascii="Arial" w:cs="Arial" w:eastAsia="Arial" w:hAnsi="Arial"/>
          <w:b/>
          <w:bCs/>
          <w:color w:val="2A2F3B"/>
          <w:sz w:val="26"/>
          <w:szCs w:val="26"/>
        </w:rPr>
        <w:t xml:space="preserve">3. ОГРАНИЧЕНИЕ ОТВЕТСТВЕННОСТИ</w:t>
      </w:r>
    </w:p>
    <w:p>
      <w:pPr>
        <w:spacing w:after="90" w:before="40" w:line="300"/>
      </w:pPr>
      <w:r>
        <w:rPr>
          <w:rFonts w:ascii="Arial" w:cs="Arial" w:eastAsia="Arial" w:hAnsi="Arial"/>
          <w:b/>
          <w:bCs/>
          <w:color w:val="2A2F3B"/>
          <w:sz w:val="22"/>
          <w:szCs w:val="22"/>
        </w:rPr>
        <w:t xml:space="preserve">3.1. </w:t>
      </w:r>
      <w:r>
        <w:rPr>
          <w:rFonts w:ascii="Arial" w:cs="Arial" w:eastAsia="Arial" w:hAnsi="Arial"/>
          <w:color w:val="333333"/>
          <w:sz w:val="22"/>
          <w:szCs w:val="22"/>
        </w:rPr>
        <w:t xml:space="preserve">Совокупная ответственность Исполнителя (Агента) по Договору ограничена размером полученного по Договору вознаграждения, за исключением случаев: умышленного причинения вреда; грубой неосторожности Исполнителя; причинения вреда жизни или здоровью (ст. 1064 ГК РФ).</w:t>
      </w:r>
    </w:p>
    <w:p>
      <w:pPr>
        <w:spacing w:after="90" w:before="40" w:line="300"/>
      </w:pPr>
      <w:r>
        <w:rPr>
          <w:rFonts w:ascii="Arial" w:cs="Arial" w:eastAsia="Arial" w:hAnsi="Arial"/>
          <w:b/>
          <w:bCs/>
          <w:color w:val="2A2F3B"/>
          <w:sz w:val="22"/>
          <w:szCs w:val="22"/>
        </w:rPr>
        <w:t xml:space="preserve">3.2. </w:t>
      </w:r>
      <w:r>
        <w:rPr>
          <w:rFonts w:ascii="Arial" w:cs="Arial" w:eastAsia="Arial" w:hAnsi="Arial"/>
          <w:color w:val="333333"/>
          <w:sz w:val="22"/>
          <w:szCs w:val="22"/>
        </w:rPr>
        <w:t xml:space="preserve">Упущенная выгода не возмещается, за исключением случаев умысла. В силу п. 4 ст. 393 ГК РФ размер упущенной выгоды должен быть доказан требующей её Стороной с разумной степенью достоверности.</w:t>
      </w:r>
    </w:p>
    <w:p>
      <w:pPr>
        <w:pStyle w:val="Heading1"/>
        <w:pBdr>
          <w:bottom w:val="single" w:color="D6001C" w:sz="8" w:space="4"/>
        </w:pBdr>
        <w:spacing w:after="160" w:before="320" w:line="300"/>
      </w:pPr>
      <w:r>
        <w:rPr>
          <w:rFonts w:ascii="Arial" w:cs="Arial" w:eastAsia="Arial" w:hAnsi="Arial"/>
          <w:b/>
          <w:bCs/>
          <w:color w:val="2A2F3B"/>
          <w:sz w:val="26"/>
          <w:szCs w:val="26"/>
        </w:rPr>
        <w:t xml:space="preserve">4. ФИДУЦИАРНЫЕ ОБЯЗАННОСТИ</w:t>
      </w:r>
    </w:p>
    <w:p>
      <w:pPr>
        <w:spacing w:after="90" w:before="40" w:line="300"/>
      </w:pPr>
      <w:r>
        <w:rPr>
          <w:rFonts w:ascii="Arial" w:cs="Arial" w:eastAsia="Arial" w:hAnsi="Arial"/>
          <w:b/>
          <w:bCs/>
          <w:color w:val="2A2F3B"/>
          <w:sz w:val="22"/>
          <w:szCs w:val="22"/>
        </w:rPr>
        <w:t xml:space="preserve">4.1. </w:t>
      </w:r>
      <w:r>
        <w:rPr>
          <w:rFonts w:ascii="Arial" w:cs="Arial" w:eastAsia="Arial" w:hAnsi="Arial"/>
          <w:color w:val="333333"/>
          <w:sz w:val="22"/>
          <w:szCs w:val="22"/>
        </w:rPr>
        <w:t xml:space="preserve">При исполнении обязательств Стороны действуют добросовестно (ст. 1 ГК РФ), разумно и в интересах друг друга, не допускают действий исключительно в ущерб другой Стороне (ст. 10 ГК РФ).</w:t>
      </w:r>
    </w:p>
    <w:p>
      <w:pPr>
        <w:spacing w:after="90" w:before="40" w:line="300"/>
      </w:pPr>
      <w:r>
        <w:rPr>
          <w:rFonts w:ascii="Arial" w:cs="Arial" w:eastAsia="Arial" w:hAnsi="Arial"/>
          <w:b/>
          <w:bCs/>
          <w:color w:val="2A2F3B"/>
          <w:sz w:val="22"/>
          <w:szCs w:val="22"/>
        </w:rPr>
        <w:t xml:space="preserve">4.2. </w:t>
      </w:r>
      <w:r>
        <w:rPr>
          <w:rFonts w:ascii="Arial" w:cs="Arial" w:eastAsia="Arial" w:hAnsi="Arial"/>
          <w:color w:val="333333"/>
          <w:sz w:val="22"/>
          <w:szCs w:val="22"/>
        </w:rPr>
        <w:t xml:space="preserve">Сторона, действующая в интересах другой Стороны (Агент, Поверенный, Доверительный управляющий), обязана раскрыть Заказчику все существенные обстоятельства, имеющие значение для принятия решений, включая возможные конфликты интересов.</w:t>
      </w:r>
    </w:p>
    <w:p>
      <w:pPr>
        <w:pStyle w:val="Heading1"/>
        <w:pBdr>
          <w:bottom w:val="single" w:color="D6001C" w:sz="8" w:space="4"/>
        </w:pBdr>
        <w:spacing w:after="160" w:before="320" w:line="300"/>
      </w:pPr>
      <w:r>
        <w:rPr>
          <w:rFonts w:ascii="Arial" w:cs="Arial" w:eastAsia="Arial" w:hAnsi="Arial"/>
          <w:b/>
          <w:bCs/>
          <w:color w:val="2A2F3B"/>
          <w:sz w:val="26"/>
          <w:szCs w:val="26"/>
        </w:rPr>
        <w:t xml:space="preserve">5. ЗАЩИТА ОТ МОШЕННИЧЕСТВА</w:t>
      </w:r>
    </w:p>
    <w:p>
      <w:pPr>
        <w:spacing w:after="90" w:before="40" w:line="300"/>
      </w:pPr>
      <w:r>
        <w:rPr>
          <w:rFonts w:ascii="Arial" w:cs="Arial" w:eastAsia="Arial" w:hAnsi="Arial"/>
          <w:b/>
          <w:bCs/>
          <w:color w:val="2A2F3B"/>
          <w:sz w:val="22"/>
          <w:szCs w:val="22"/>
        </w:rPr>
        <w:t xml:space="preserve">5.1. </w:t>
      </w:r>
      <w:r>
        <w:rPr>
          <w:rFonts w:ascii="Arial" w:cs="Arial" w:eastAsia="Arial" w:hAnsi="Arial"/>
          <w:color w:val="333333"/>
          <w:sz w:val="22"/>
          <w:szCs w:val="22"/>
        </w:rPr>
        <w:t xml:space="preserve">Стороны подтверждают: не используют номинальных лиц и не действуют в чужих интересах без раскрытия этого обстоятельства другой Стороне; не совершают действий, направленных на вывод имущества из-под взыскания кредиторов; не участвуют в схемах по уклонению от уплаты налогов.</w:t>
      </w:r>
    </w:p>
    <w:p>
      <w:pPr>
        <w:spacing w:after="90" w:before="40" w:line="300"/>
      </w:pPr>
      <w:r>
        <w:rPr>
          <w:rFonts w:ascii="Arial" w:cs="Arial" w:eastAsia="Arial" w:hAnsi="Arial"/>
          <w:b/>
          <w:bCs/>
          <w:color w:val="2A2F3B"/>
          <w:sz w:val="22"/>
          <w:szCs w:val="22"/>
        </w:rPr>
        <w:t xml:space="preserve">5.2. </w:t>
      </w:r>
      <w:r>
        <w:rPr>
          <w:rFonts w:ascii="Arial" w:cs="Arial" w:eastAsia="Arial" w:hAnsi="Arial"/>
          <w:color w:val="333333"/>
          <w:sz w:val="22"/>
          <w:szCs w:val="22"/>
        </w:rPr>
        <w:t xml:space="preserve">При выявлении признаков мошеннических действий Сторона вправе в одностороннем внесудебном порядке расторгнуть Договор с возложением на виновную Сторону обязанности возмещения убытков и уплаты штрафа в размере 50% от цены Договора.</w:t>
      </w:r>
    </w:p>
    <w:p>
      <w:pPr>
        <w:pStyle w:val="Heading1"/>
        <w:pBdr>
          <w:bottom w:val="single" w:color="D6001C" w:sz="8" w:space="4"/>
        </w:pBdr>
        <w:spacing w:after="160" w:before="320" w:line="300"/>
      </w:pPr>
      <w:r>
        <w:rPr>
          <w:rFonts w:ascii="Arial" w:cs="Arial" w:eastAsia="Arial" w:hAnsi="Arial"/>
          <w:b/>
          <w:bCs/>
          <w:color w:val="2A2F3B"/>
          <w:sz w:val="26"/>
          <w:szCs w:val="26"/>
        </w:rPr>
        <w:t xml:space="preserve">6. ОГРАНИЧЕНИЕ КОНКУРЕНЦИИ (Non-Compete)</w:t>
      </w:r>
    </w:p>
    <w:p>
      <w:pPr>
        <w:spacing w:after="90" w:before="40" w:line="300"/>
      </w:pPr>
      <w:r>
        <w:rPr>
          <w:rFonts w:ascii="Arial" w:cs="Arial" w:eastAsia="Arial" w:hAnsi="Arial"/>
          <w:b/>
          <w:bCs/>
          <w:color w:val="2A2F3B"/>
          <w:sz w:val="22"/>
          <w:szCs w:val="22"/>
        </w:rPr>
        <w:t xml:space="preserve">6.1. </w:t>
      </w:r>
      <w:r>
        <w:rPr>
          <w:rFonts w:ascii="Arial" w:cs="Arial" w:eastAsia="Arial" w:hAnsi="Arial"/>
          <w:color w:val="333333"/>
          <w:sz w:val="22"/>
          <w:szCs w:val="22"/>
        </w:rPr>
        <w:t xml:space="preserve">В случаях, когда это предусмотрено основным Договором, применяется ограничение конкуренции: Сторона не привлекает третьих лиц для оказания аналогичных услуг по тому же предмету в течение срока действия Договора и _____ месяцев после его прекращения.</w:t>
      </w:r>
    </w:p>
    <w:p>
      <w:pPr>
        <w:spacing w:after="90" w:before="40" w:line="300"/>
      </w:pPr>
      <w:r>
        <w:rPr>
          <w:rFonts w:ascii="Arial" w:cs="Arial" w:eastAsia="Arial" w:hAnsi="Arial"/>
          <w:b/>
          <w:bCs/>
          <w:color w:val="2A2F3B"/>
          <w:sz w:val="22"/>
          <w:szCs w:val="22"/>
        </w:rPr>
        <w:t xml:space="preserve">6.2. </w:t>
      </w:r>
      <w:r>
        <w:rPr>
          <w:rFonts w:ascii="Arial" w:cs="Arial" w:eastAsia="Arial" w:hAnsi="Arial"/>
          <w:color w:val="333333"/>
          <w:sz w:val="22"/>
          <w:szCs w:val="22"/>
        </w:rPr>
        <w:t xml:space="preserve">Нарушение ограничения конкуренции влечёт уплату неустойки в размере ____________ рублей за каждый факт нарушения.</w:t>
      </w:r>
    </w:p>
    <w:p>
      <w:pPr>
        <w:pStyle w:val="Heading1"/>
        <w:pBdr>
          <w:bottom w:val="single" w:color="D6001C" w:sz="8" w:space="4"/>
        </w:pBdr>
        <w:spacing w:after="160" w:before="320" w:line="300"/>
      </w:pPr>
      <w:r>
        <w:rPr>
          <w:rFonts w:ascii="Arial" w:cs="Arial" w:eastAsia="Arial" w:hAnsi="Arial"/>
          <w:b/>
          <w:bCs/>
          <w:color w:val="2A2F3B"/>
          <w:sz w:val="26"/>
          <w:szCs w:val="26"/>
        </w:rPr>
        <w:t xml:space="preserve">7. ПРИМЕНЕНИЕ ОГОВОРОК</w:t>
      </w:r>
    </w:p>
    <w:p>
      <w:pPr>
        <w:spacing w:after="90" w:before="40" w:line="300"/>
      </w:pPr>
      <w:r>
        <w:rPr>
          <w:rFonts w:ascii="Arial" w:cs="Arial" w:eastAsia="Arial" w:hAnsi="Arial"/>
          <w:b/>
          <w:bCs/>
          <w:color w:val="2A2F3B"/>
          <w:sz w:val="22"/>
          <w:szCs w:val="22"/>
        </w:rPr>
        <w:t xml:space="preserve">7.1. </w:t>
      </w:r>
      <w:r>
        <w:rPr>
          <w:rFonts w:ascii="Arial" w:cs="Arial" w:eastAsia="Arial" w:hAnsi="Arial"/>
          <w:color w:val="333333"/>
          <w:sz w:val="22"/>
          <w:szCs w:val="22"/>
        </w:rPr>
        <w:t xml:space="preserve">Настоящие Защитные оговорки применяются в качестве приложения к основному Договору между Сторонами и являются его неотъемлемой частью.</w:t>
      </w:r>
    </w:p>
    <w:p>
      <w:pPr>
        <w:spacing w:after="90" w:before="40" w:line="300"/>
      </w:pPr>
      <w:r>
        <w:rPr>
          <w:rFonts w:ascii="Arial" w:cs="Arial" w:eastAsia="Arial" w:hAnsi="Arial"/>
          <w:b/>
          <w:bCs/>
          <w:color w:val="2A2F3B"/>
          <w:sz w:val="22"/>
          <w:szCs w:val="22"/>
        </w:rPr>
        <w:t xml:space="preserve">7.2. </w:t>
      </w:r>
      <w:r>
        <w:rPr>
          <w:rFonts w:ascii="Arial" w:cs="Arial" w:eastAsia="Arial" w:hAnsi="Arial"/>
          <w:color w:val="333333"/>
          <w:sz w:val="22"/>
          <w:szCs w:val="22"/>
        </w:rPr>
        <w:t xml:space="preserve">При противоречии между основным Договором и настоящими оговорками преимущественную силу имеют положения основного Договора, за исключением случаев, когда оговорки устанавливают более строгие требования к добросовестности и защите прав добросовестной Стороны.</w:t>
      </w:r>
    </w:p>
    <w:p>
      <w:pPr>
        <w:pStyle w:val="Heading1"/>
        <w:pBdr>
          <w:bottom w:val="single" w:color="D6001C" w:sz="8" w:space="4"/>
        </w:pBdr>
        <w:spacing w:after="160" w:before="320" w:line="300"/>
      </w:pPr>
      <w:r>
        <w:rPr>
          <w:rFonts w:ascii="Arial" w:cs="Arial" w:eastAsia="Arial" w:hAnsi="Arial"/>
          <w:b/>
          <w:bCs/>
          <w:color w:val="2A2F3B"/>
          <w:sz w:val="26"/>
          <w:szCs w:val="26"/>
        </w:rPr>
        <w:t xml:space="preserve">ДОБРОСОВЕСТНОСТЬ ПРИОБРЕТАТЕЛЯ (ст. 302 ГК РФ)</w:t>
      </w:r>
    </w:p>
    <w:p>
      <w:pPr>
        <w:spacing w:after="90" w:before="40" w:line="300"/>
      </w:pPr>
      <w:r>
        <w:rPr>
          <w:rFonts w:ascii="Arial" w:cs="Arial" w:eastAsia="Arial" w:hAnsi="Arial"/>
          <w:b/>
          <w:bCs/>
          <w:color w:val="2A2F3B"/>
          <w:sz w:val="22"/>
          <w:szCs w:val="22"/>
        </w:rPr>
        <w:t xml:space="preserve">ДП.1. </w:t>
      </w:r>
      <w:r>
        <w:rPr>
          <w:rFonts w:ascii="Arial" w:cs="Arial" w:eastAsia="Arial" w:hAnsi="Arial"/>
          <w:color w:val="333333"/>
          <w:sz w:val="22"/>
          <w:szCs w:val="22"/>
        </w:rPr>
        <w:t xml:space="preserve">Стороны подтверждают: Покупатель (Приобретатель) на дату заключения Договора полагался на данные Единого государственного реестра недвижимости (абз. 3 п. 6 ст. 8.1 ГК РФ), в соответствии с которыми Продавец указан как правомочное лицо на отчуждение Объекта. Презумпция добросовестности приобретателя, опирающегося на данные ЕГРН, действует, пока в судебном порядке не доказано обратное.</w:t>
      </w:r>
    </w:p>
    <w:p>
      <w:pPr>
        <w:spacing w:after="90" w:before="40" w:line="300"/>
      </w:pPr>
      <w:r>
        <w:rPr>
          <w:rFonts w:ascii="Arial" w:cs="Arial" w:eastAsia="Arial" w:hAnsi="Arial"/>
          <w:b/>
          <w:bCs/>
          <w:color w:val="2A2F3B"/>
          <w:sz w:val="22"/>
          <w:szCs w:val="22"/>
        </w:rPr>
        <w:t xml:space="preserve">ДП.2. </w:t>
      </w:r>
      <w:r>
        <w:rPr>
          <w:rFonts w:ascii="Arial" w:cs="Arial" w:eastAsia="Arial" w:hAnsi="Arial"/>
          <w:color w:val="333333"/>
          <w:sz w:val="22"/>
          <w:szCs w:val="22"/>
        </w:rPr>
        <w:t xml:space="preserve">Покупатель в целях подтверждения добросовестности провёл следующие проверки (п. 38 Постановления Пленума ВС РФ и ВАС РФ № 10/22 от 29.04.2010 в ред. Постановления Пленума ВС РФ № 32 от 19.11.2024):</w:t>
      </w:r>
    </w:p>
    <w:p>
      <w:pPr>
        <w:spacing w:after="70" w:before="30" w:line="300"/>
        <w:ind w:left="360" w:hanging="180"/>
      </w:pPr>
      <w:r>
        <w:rPr>
          <w:rFonts w:ascii="Arial" w:cs="Arial" w:eastAsia="Arial" w:hAnsi="Arial"/>
          <w:b/>
          <w:bCs/>
          <w:color w:val="2A2F3B"/>
          <w:sz w:val="22"/>
          <w:szCs w:val="22"/>
        </w:rPr>
        <w:t xml:space="preserve">ДП.2.1. </w:t>
      </w:r>
      <w:r>
        <w:rPr>
          <w:rFonts w:ascii="Arial" w:cs="Arial" w:eastAsia="Arial" w:hAnsi="Arial"/>
          <w:color w:val="333333"/>
          <w:sz w:val="22"/>
          <w:szCs w:val="22"/>
        </w:rPr>
        <w:t xml:space="preserve">получена актуальная выписка из ЕГРН об объекте (срок выдачи не более 14 дней до сделки) с подтверждением права Продавца и отсутствия обременений, арестов, судебных споров;</w:t>
      </w:r>
    </w:p>
    <w:p>
      <w:pPr>
        <w:spacing w:after="70" w:before="30" w:line="300"/>
        <w:ind w:left="360" w:hanging="180"/>
      </w:pPr>
      <w:r>
        <w:rPr>
          <w:rFonts w:ascii="Arial" w:cs="Arial" w:eastAsia="Arial" w:hAnsi="Arial"/>
          <w:b/>
          <w:bCs/>
          <w:color w:val="2A2F3B"/>
          <w:sz w:val="22"/>
          <w:szCs w:val="22"/>
        </w:rPr>
        <w:t xml:space="preserve">ДП.2.2. </w:t>
      </w:r>
      <w:r>
        <w:rPr>
          <w:rFonts w:ascii="Arial" w:cs="Arial" w:eastAsia="Arial" w:hAnsi="Arial"/>
          <w:color w:val="333333"/>
          <w:sz w:val="22"/>
          <w:szCs w:val="22"/>
        </w:rPr>
        <w:t xml:space="preserve">изучена цепочка предыдущих сделок с Объектом за период не менее 3 лет (срок общей исковой давности по ст. 181 ГК РФ);</w:t>
      </w:r>
    </w:p>
    <w:p>
      <w:pPr>
        <w:spacing w:after="70" w:before="30" w:line="300"/>
        <w:ind w:left="360" w:hanging="180"/>
      </w:pPr>
      <w:r>
        <w:rPr>
          <w:rFonts w:ascii="Arial" w:cs="Arial" w:eastAsia="Arial" w:hAnsi="Arial"/>
          <w:b/>
          <w:bCs/>
          <w:color w:val="2A2F3B"/>
          <w:sz w:val="22"/>
          <w:szCs w:val="22"/>
        </w:rPr>
        <w:t xml:space="preserve">ДП.2.3. </w:t>
      </w:r>
      <w:r>
        <w:rPr>
          <w:rFonts w:ascii="Arial" w:cs="Arial" w:eastAsia="Arial" w:hAnsi="Arial"/>
          <w:color w:val="333333"/>
          <w:sz w:val="22"/>
          <w:szCs w:val="22"/>
        </w:rPr>
        <w:t xml:space="preserve">Продавец (при банкротстве, конкурсный или финансовый управляющий) проверен в ЕФРСБ (bankrot.fedresurs.ru); наличие дела о банкротстве, судебных актов, оспариваемых сделок установлено;</w:t>
      </w:r>
    </w:p>
    <w:p>
      <w:pPr>
        <w:spacing w:after="70" w:before="30" w:line="300"/>
        <w:ind w:left="360" w:hanging="180"/>
      </w:pPr>
      <w:r>
        <w:rPr>
          <w:rFonts w:ascii="Arial" w:cs="Arial" w:eastAsia="Arial" w:hAnsi="Arial"/>
          <w:b/>
          <w:bCs/>
          <w:color w:val="2A2F3B"/>
          <w:sz w:val="22"/>
          <w:szCs w:val="22"/>
        </w:rPr>
        <w:t xml:space="preserve">ДП.2.4. </w:t>
      </w:r>
      <w:r>
        <w:rPr>
          <w:rFonts w:ascii="Arial" w:cs="Arial" w:eastAsia="Arial" w:hAnsi="Arial"/>
          <w:color w:val="333333"/>
          <w:sz w:val="22"/>
          <w:szCs w:val="22"/>
        </w:rPr>
        <w:t xml:space="preserve">Продавец проверен в картотеке арбитражных дел (kad.arbitr.ru) и банке данных исполнительных производств ФССП;</w:t>
      </w:r>
    </w:p>
    <w:p>
      <w:pPr>
        <w:spacing w:after="70" w:before="30" w:line="300"/>
        <w:ind w:left="360" w:hanging="180"/>
      </w:pPr>
      <w:r>
        <w:rPr>
          <w:rFonts w:ascii="Arial" w:cs="Arial" w:eastAsia="Arial" w:hAnsi="Arial"/>
          <w:b/>
          <w:bCs/>
          <w:color w:val="2A2F3B"/>
          <w:sz w:val="22"/>
          <w:szCs w:val="22"/>
        </w:rPr>
        <w:t xml:space="preserve">ДП.2.5. </w:t>
      </w:r>
      <w:r>
        <w:rPr>
          <w:rFonts w:ascii="Arial" w:cs="Arial" w:eastAsia="Arial" w:hAnsi="Arial"/>
          <w:color w:val="333333"/>
          <w:sz w:val="22"/>
          <w:szCs w:val="22"/>
        </w:rPr>
        <w:t xml:space="preserve">Продавец проверен в реестре уведомлений о залоге движимого имущества нотариата (reestr-zalogov.ru), применимо к движимому имуществу;</w:t>
      </w:r>
    </w:p>
    <w:p>
      <w:pPr>
        <w:spacing w:after="70" w:before="30" w:line="300"/>
        <w:ind w:left="360" w:hanging="180"/>
      </w:pPr>
      <w:r>
        <w:rPr>
          <w:rFonts w:ascii="Arial" w:cs="Arial" w:eastAsia="Arial" w:hAnsi="Arial"/>
          <w:b/>
          <w:bCs/>
          <w:color w:val="2A2F3B"/>
          <w:sz w:val="22"/>
          <w:szCs w:val="22"/>
        </w:rPr>
        <w:t xml:space="preserve">ДП.2.6. </w:t>
      </w:r>
      <w:r>
        <w:rPr>
          <w:rFonts w:ascii="Arial" w:cs="Arial" w:eastAsia="Arial" w:hAnsi="Arial"/>
          <w:color w:val="333333"/>
          <w:sz w:val="22"/>
          <w:szCs w:val="22"/>
        </w:rPr>
        <w:t xml:space="preserve">проведён визуальный осмотр Объекта с составлением акта осмотра, фотофиксацией, проверкой соответствия фактического состояния документам;</w:t>
      </w:r>
    </w:p>
    <w:p>
      <w:pPr>
        <w:spacing w:after="70" w:before="30" w:line="300"/>
        <w:ind w:left="360" w:hanging="180"/>
      </w:pPr>
      <w:r>
        <w:rPr>
          <w:rFonts w:ascii="Arial" w:cs="Arial" w:eastAsia="Arial" w:hAnsi="Arial"/>
          <w:b/>
          <w:bCs/>
          <w:color w:val="2A2F3B"/>
          <w:sz w:val="22"/>
          <w:szCs w:val="22"/>
        </w:rPr>
        <w:t xml:space="preserve">ДП.2.7. </w:t>
      </w:r>
      <w:r>
        <w:rPr>
          <w:rFonts w:ascii="Arial" w:cs="Arial" w:eastAsia="Arial" w:hAnsi="Arial"/>
          <w:color w:val="333333"/>
          <w:sz w:val="22"/>
          <w:szCs w:val="22"/>
        </w:rPr>
        <w:t xml:space="preserve">цена Объекта соответствует рыночному уровню (неравноценность встречного исполнения по ч. 1 ст. 61.2 ФЗ-127 является основанием для оспаривания сделки в банкротстве). Занижение цены в Договоре не допускается.</w:t>
      </w:r>
    </w:p>
    <w:p>
      <w:pPr>
        <w:spacing w:after="90" w:before="40" w:line="300"/>
      </w:pPr>
      <w:r>
        <w:rPr>
          <w:rFonts w:ascii="Arial" w:cs="Arial" w:eastAsia="Arial" w:hAnsi="Arial"/>
          <w:b/>
          <w:bCs/>
          <w:color w:val="2A2F3B"/>
          <w:sz w:val="22"/>
          <w:szCs w:val="22"/>
        </w:rPr>
        <w:t xml:space="preserve">ДП.3. </w:t>
      </w:r>
      <w:r>
        <w:rPr>
          <w:rFonts w:ascii="Arial" w:cs="Arial" w:eastAsia="Arial" w:hAnsi="Arial"/>
          <w:color w:val="333333"/>
          <w:sz w:val="22"/>
          <w:szCs w:val="22"/>
        </w:rPr>
        <w:t xml:space="preserve">Расчёты производятся исключительно в безналичной форме путём перечисления на расчётный счёт Продавца (или на специальный счёт продавца-банкрота по указанию арбитражного управляющего). Наличные расчёты не применяются. Расчёты через индивидуальный банковский сейф с участием сотрудника банка допускаются с оформлением расписки о получении средств.</w:t>
      </w:r>
    </w:p>
    <w:p>
      <w:pPr>
        <w:spacing w:after="90" w:before="40" w:line="300"/>
      </w:pPr>
      <w:r>
        <w:rPr>
          <w:rFonts w:ascii="Arial" w:cs="Arial" w:eastAsia="Arial" w:hAnsi="Arial"/>
          <w:b/>
          <w:bCs/>
          <w:color w:val="2A2F3B"/>
          <w:sz w:val="22"/>
          <w:szCs w:val="22"/>
        </w:rPr>
        <w:t xml:space="preserve">ДП.4. </w:t>
      </w:r>
      <w:r>
        <w:rPr>
          <w:rFonts w:ascii="Arial" w:cs="Arial" w:eastAsia="Arial" w:hAnsi="Arial"/>
          <w:color w:val="333333"/>
          <w:sz w:val="22"/>
          <w:szCs w:val="22"/>
        </w:rPr>
        <w:t xml:space="preserve">Согласно позиции Президиума ВС РФ (Обзор судебной практики ВС РФ № 2 за 2025 год от 18.06.2025, пункт 1): недействительность сделки, на основании которой передано имущество, сама по себе не свидетельствует о его выбытии из владения собственника помимо воли и не является достаточным основанием для истребования имущества у последующего добросовестного приобретателя. Попытки продавца скрыть имущество от кредиторов не влияют на добросовестность приобретателя, если тот не знал о банкротстве правоотчуждателя.</w:t>
      </w:r>
    </w:p>
    <w:p>
      <w:pPr>
        <w:spacing w:after="90" w:before="40" w:line="300"/>
      </w:pPr>
      <w:r>
        <w:rPr>
          <w:rFonts w:ascii="Arial" w:cs="Arial" w:eastAsia="Arial" w:hAnsi="Arial"/>
          <w:b/>
          <w:bCs/>
          <w:color w:val="2A2F3B"/>
          <w:sz w:val="22"/>
          <w:szCs w:val="22"/>
        </w:rPr>
        <w:t xml:space="preserve">ДП.5. </w:t>
      </w:r>
      <w:r>
        <w:rPr>
          <w:rFonts w:ascii="Arial" w:cs="Arial" w:eastAsia="Arial" w:hAnsi="Arial"/>
          <w:color w:val="333333"/>
          <w:sz w:val="22"/>
          <w:szCs w:val="22"/>
        </w:rPr>
        <w:t xml:space="preserve">Согласно позиции Конституционного Суда РФ (Постановление от 22.06.2017 № 16-П по делу Дубовца, Определение КС РФ № 907-О от 10.04.2025) данные ЕГРН обладают публичной достоверностью. Приобретатель, полагавшийся на данные ЕГРН, подлежит защите и в случае ошибок органов государственной власти.</w:t>
      </w:r>
    </w:p>
    <w:p>
      <w:pPr>
        <w:spacing w:after="90" w:before="40" w:line="300"/>
      </w:pPr>
      <w:r>
        <w:rPr>
          <w:rFonts w:ascii="Arial" w:cs="Arial" w:eastAsia="Arial" w:hAnsi="Arial"/>
          <w:b/>
          <w:bCs/>
          <w:color w:val="2A2F3B"/>
          <w:sz w:val="22"/>
          <w:szCs w:val="22"/>
        </w:rPr>
        <w:t xml:space="preserve">ДП.6. </w:t>
      </w:r>
      <w:r>
        <w:rPr>
          <w:rFonts w:ascii="Arial" w:cs="Arial" w:eastAsia="Arial" w:hAnsi="Arial"/>
          <w:color w:val="333333"/>
          <w:sz w:val="22"/>
          <w:szCs w:val="22"/>
        </w:rPr>
        <w:t xml:space="preserve">Согласно правовой позиции Судебной коллегии по гражданским делам Верховного Суда РФ (Определение от 16.12.2025 по делу Долина, Лурье): заблуждение продавца относительно мотивов сделки не образует основания для признания сделки недействительной по ст. 178 ГК РФ; при невозможности добросовестного контрагента распознать заблуждение продавца закон защищает именно добросовестного приобретателя; признание сделки недействительной создаёт угрозу для стабильности гражданского оборота и подрывает доверие к государственному реестру недвижимости.</w:t>
      </w:r>
    </w:p>
    <w:p>
      <w:pPr>
        <w:spacing w:after="90" w:before="40" w:line="300"/>
      </w:pPr>
      <w:r>
        <w:rPr>
          <w:rFonts w:ascii="Arial" w:cs="Arial" w:eastAsia="Arial" w:hAnsi="Arial"/>
          <w:b/>
          <w:bCs/>
          <w:color w:val="2A2F3B"/>
          <w:sz w:val="22"/>
          <w:szCs w:val="22"/>
        </w:rPr>
        <w:t xml:space="preserve">ДП.7. </w:t>
      </w:r>
      <w:r>
        <w:rPr>
          <w:rFonts w:ascii="Arial" w:cs="Arial" w:eastAsia="Arial" w:hAnsi="Arial"/>
          <w:color w:val="333333"/>
          <w:sz w:val="22"/>
          <w:szCs w:val="22"/>
        </w:rPr>
        <w:t xml:space="preserve">Для дополнительной защиты Покупателю рекомендуется заключить договор титульного страхования на срок не менее 3 лет (срок давности оспаривания сделок по ст. 181 ГК РФ, п. 1). При банкротстве, 3 года для сделок с целью причинения вреда кредиторам (ч. 2 ст. 61.2 ФЗ-127). Тариф титульного страхования ориентировочно 0,15-0,5% от стоимости Объекта в год.</w:t>
      </w:r>
    </w:p>
    <w:p>
      <w:pPr>
        <w:spacing w:after="90" w:before="40" w:line="300"/>
      </w:pPr>
      <w:r>
        <w:rPr>
          <w:rFonts w:ascii="Arial" w:cs="Arial" w:eastAsia="Arial" w:hAnsi="Arial"/>
          <w:b/>
          <w:bCs/>
          <w:color w:val="2A2F3B"/>
          <w:sz w:val="22"/>
          <w:szCs w:val="22"/>
        </w:rPr>
        <w:t xml:space="preserve">ДП.8. </w:t>
      </w:r>
      <w:r>
        <w:rPr>
          <w:rFonts w:ascii="Arial" w:cs="Arial" w:eastAsia="Arial" w:hAnsi="Arial"/>
          <w:color w:val="333333"/>
          <w:sz w:val="22"/>
          <w:szCs w:val="22"/>
        </w:rPr>
        <w:t xml:space="preserve">Продавец гарантирует Покупателю: (а) отсутствие признаков порока воли при заключении Договора; (б) осознание правовых последствий сделки; (в) отсутствие действий мошенников, влияющих на его волю; (г) намерение передать вырученные средства только по собственному усмотрению. В случае установления судом недобросовестности Продавца либо его действий под влиянием третьих лиц, повлекших оспаривание сделки и изъятие Объекта у Покупателя, Продавец обязан возместить Покупателю все убытки, включая двукратную цену сделки в качестве штрафа (ст. 333, 394 ГК РФ).</w:t>
      </w:r>
    </w:p>
    <w:p>
      <w:pPr>
        <w:spacing w:after="240" w:before="0" w:line="300"/>
        <w:jc w:val="left"/>
      </w:pPr>
      <w:r>
        <w:rPr>
          <w:rFonts w:ascii="Arial" w:cs="Arial" w:eastAsia="Arial" w:hAnsi="Arial"/>
          <w:b w:val="false"/>
          <w:bCs w:val="false"/>
          <w:i w:val="false"/>
          <w:iCs w:val="false"/>
          <w:color w:val="2A2F3B"/>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8A850" w:sz="6"/>
              <w:left w:val="single" w:color="C8A850" w:sz="6"/>
              <w:bottom w:val="single" w:color="C8A850" w:sz="6"/>
              <w:right w:val="single" w:color="C8A850" w:sz="6"/>
            </w:tcBorders>
            <w:shd w:fill="F5F3EE" w:val="clear"/>
            <w:tcMar>
              <w:top w:type="dxa" w:w="120"/>
              <w:left w:type="dxa" w:w="160"/>
              <w:bottom w:type="dxa" w:w="120"/>
              <w:right w:type="dxa" w:w="160"/>
            </w:tcMar>
          </w:tcPr>
          <w:p>
            <w:pPr>
              <w:spacing w:after="120"/>
              <w:jc w:val="center"/>
            </w:pPr>
            <w:r>
              <w:rPr>
                <w:rFonts w:ascii="Arial" w:cs="Arial" w:eastAsia="Arial" w:hAnsi="Arial"/>
                <w:b/>
                <w:bCs/>
                <w:color w:val="2A2F3B"/>
                <w:sz w:val="24"/>
                <w:szCs w:val="24"/>
              </w:rPr>
              <w:t xml:space="preserve">СТОРОНА 1</w:t>
            </w:r>
          </w:p>
          <w:p>
            <w:pPr>
              <w:spacing w:after="120" w:before="0" w:line="300"/>
              <w:jc w:val="left"/>
            </w:pPr>
            <w:r>
              <w:rPr>
                <w:rFonts w:ascii="Arial" w:cs="Arial" w:eastAsia="Arial" w:hAnsi="Arial"/>
                <w:b/>
                <w:bCs/>
                <w:i w:val="false"/>
                <w:iCs w:val="false"/>
                <w:color w:val="2A2F3B"/>
                <w:sz w:val="20"/>
                <w:szCs w:val="20"/>
              </w:rPr>
              <w:t xml:space="preserve">ФИО:</w:t>
            </w:r>
            <w:r>
              <w:rPr>
                <w:rFonts w:ascii="Arial" w:cs="Arial" w:eastAsia="Arial" w:hAnsi="Arial"/>
                <w:b w:val="false"/>
                <w:bCs w:val="false"/>
                <w:i w:val="false"/>
                <w:iCs w:val="false"/>
                <w:color w:val="2A2F3B"/>
                <w:sz w:val="20"/>
                <w:szCs w:val="20"/>
              </w:rPr>
              <w:t xml:space="preserve"> ___________________________</w:t>
            </w:r>
          </w:p>
          <w:p>
            <w:pPr>
              <w:spacing w:after="120" w:before="0" w:line="300"/>
              <w:jc w:val="left"/>
            </w:pPr>
            <w:r>
              <w:rPr>
                <w:rFonts w:ascii="Arial" w:cs="Arial" w:eastAsia="Arial" w:hAnsi="Arial"/>
                <w:b/>
                <w:bCs/>
                <w:i w:val="false"/>
                <w:iCs w:val="false"/>
                <w:color w:val="2A2F3B"/>
                <w:sz w:val="20"/>
                <w:szCs w:val="20"/>
              </w:rPr>
              <w:t xml:space="preserve">Дата рождения:</w:t>
            </w:r>
            <w:r>
              <w:rPr>
                <w:rFonts w:ascii="Arial" w:cs="Arial" w:eastAsia="Arial" w:hAnsi="Arial"/>
                <w:b w:val="false"/>
                <w:bCs w:val="false"/>
                <w:i w:val="false"/>
                <w:iCs w:val="false"/>
                <w:color w:val="2A2F3B"/>
                <w:sz w:val="20"/>
                <w:szCs w:val="20"/>
              </w:rPr>
              <w:t xml:space="preserve"> _______________</w:t>
            </w:r>
          </w:p>
          <w:p>
            <w:pPr>
              <w:spacing w:after="120" w:before="0" w:line="300"/>
              <w:jc w:val="left"/>
            </w:pPr>
            <w:r>
              <w:rPr>
                <w:rFonts w:ascii="Arial" w:cs="Arial" w:eastAsia="Arial" w:hAnsi="Arial"/>
                <w:b/>
                <w:bCs/>
                <w:i w:val="false"/>
                <w:iCs w:val="false"/>
                <w:color w:val="2A2F3B"/>
                <w:sz w:val="20"/>
                <w:szCs w:val="20"/>
              </w:rPr>
              <w:t xml:space="preserve">Паспорт серия:</w:t>
            </w:r>
            <w:r>
              <w:rPr>
                <w:rFonts w:ascii="Arial" w:cs="Arial" w:eastAsia="Arial" w:hAnsi="Arial"/>
                <w:b w:val="false"/>
                <w:bCs w:val="false"/>
                <w:i w:val="false"/>
                <w:iCs w:val="false"/>
                <w:color w:val="2A2F3B"/>
                <w:sz w:val="20"/>
                <w:szCs w:val="20"/>
              </w:rPr>
              <w:t xml:space="preserve"> ____ № __________</w:t>
            </w:r>
          </w:p>
          <w:p>
            <w:pPr>
              <w:spacing w:after="120" w:before="0" w:line="300"/>
              <w:jc w:val="left"/>
            </w:pPr>
            <w:r>
              <w:rPr>
                <w:rFonts w:ascii="Arial" w:cs="Arial" w:eastAsia="Arial" w:hAnsi="Arial"/>
                <w:b/>
                <w:bCs/>
                <w:i w:val="false"/>
                <w:iCs w:val="false"/>
                <w:color w:val="2A2F3B"/>
                <w:sz w:val="20"/>
                <w:szCs w:val="20"/>
              </w:rPr>
              <w:t xml:space="preserve">Выдан:</w:t>
            </w:r>
            <w:r>
              <w:rPr>
                <w:rFonts w:ascii="Arial" w:cs="Arial" w:eastAsia="Arial" w:hAnsi="Arial"/>
                <w:b w:val="false"/>
                <w:bCs w:val="false"/>
                <w:i w:val="false"/>
                <w:iCs w:val="false"/>
                <w:color w:val="2A2F3B"/>
                <w:sz w:val="20"/>
                <w:szCs w:val="20"/>
              </w:rPr>
              <w:t xml:space="preserve"> _______________________</w:t>
            </w:r>
          </w:p>
          <w:p>
            <w:pPr>
              <w:spacing w:after="120" w:before="0" w:line="300"/>
              <w:jc w:val="left"/>
            </w:pPr>
            <w:r>
              <w:rPr>
                <w:rFonts w:ascii="Arial" w:cs="Arial" w:eastAsia="Arial" w:hAnsi="Arial"/>
                <w:b/>
                <w:bCs/>
                <w:i w:val="false"/>
                <w:iCs w:val="false"/>
                <w:color w:val="2A2F3B"/>
                <w:sz w:val="20"/>
                <w:szCs w:val="20"/>
              </w:rPr>
              <w:t xml:space="preserve">«___» _________ _____ г.</w:t>
            </w:r>
            <w:r>
              <w:rPr>
                <w:rFonts w:ascii="Arial" w:cs="Arial" w:eastAsia="Arial" w:hAnsi="Arial"/>
                <w:b w:val="false"/>
                <w:bCs w:val="false"/>
                <w:i w:val="false"/>
                <w:iCs w:val="false"/>
                <w:color w:val="2A2F3B"/>
                <w:sz w:val="20"/>
                <w:szCs w:val="20"/>
              </w:rPr>
              <w:t xml:space="preserve"> </w:t>
            </w:r>
          </w:p>
          <w:p>
            <w:pPr>
              <w:spacing w:after="120" w:before="0" w:line="300"/>
              <w:jc w:val="left"/>
            </w:pPr>
            <w:r>
              <w:rPr>
                <w:rFonts w:ascii="Arial" w:cs="Arial" w:eastAsia="Arial" w:hAnsi="Arial"/>
                <w:b/>
                <w:bCs/>
                <w:i w:val="false"/>
                <w:iCs w:val="false"/>
                <w:color w:val="2A2F3B"/>
                <w:sz w:val="20"/>
                <w:szCs w:val="20"/>
              </w:rPr>
              <w:t xml:space="preserve">Код подразделения:</w:t>
            </w:r>
            <w:r>
              <w:rPr>
                <w:rFonts w:ascii="Arial" w:cs="Arial" w:eastAsia="Arial" w:hAnsi="Arial"/>
                <w:b w:val="false"/>
                <w:bCs w:val="false"/>
                <w:i w:val="false"/>
                <w:iCs w:val="false"/>
                <w:color w:val="2A2F3B"/>
                <w:sz w:val="20"/>
                <w:szCs w:val="20"/>
              </w:rPr>
              <w:t xml:space="preserve"> ______________</w:t>
            </w:r>
          </w:p>
          <w:p>
            <w:pPr>
              <w:spacing w:after="120" w:before="0" w:line="300"/>
              <w:jc w:val="left"/>
            </w:pPr>
            <w:r>
              <w:rPr>
                <w:rFonts w:ascii="Arial" w:cs="Arial" w:eastAsia="Arial" w:hAnsi="Arial"/>
                <w:b/>
                <w:bCs/>
                <w:i w:val="false"/>
                <w:iCs w:val="false"/>
                <w:color w:val="2A2F3B"/>
                <w:sz w:val="20"/>
                <w:szCs w:val="20"/>
              </w:rPr>
              <w:t xml:space="preserve">Адрес регистрации:</w:t>
            </w:r>
            <w:r>
              <w:rPr>
                <w:rFonts w:ascii="Arial" w:cs="Arial" w:eastAsia="Arial" w:hAnsi="Arial"/>
                <w:b w:val="false"/>
                <w:bCs w:val="false"/>
                <w:i w:val="false"/>
                <w:iCs w:val="false"/>
                <w:color w:val="2A2F3B"/>
                <w:sz w:val="20"/>
                <w:szCs w:val="20"/>
              </w:rPr>
              <w:t xml:space="preserve"> ______________</w:t>
            </w:r>
          </w:p>
          <w:p>
            <w:pPr>
              <w:spacing w:after="120" w:before="0" w:line="300"/>
              <w:jc w:val="left"/>
            </w:pPr>
            <w:r>
              <w:rPr>
                <w:rFonts w:ascii="Arial" w:cs="Arial" w:eastAsia="Arial" w:hAnsi="Arial"/>
                <w:b/>
                <w:bCs/>
                <w:i w:val="false"/>
                <w:iCs w:val="false"/>
                <w:color w:val="2A2F3B"/>
                <w:sz w:val="20"/>
                <w:szCs w:val="20"/>
              </w:rPr>
              <w:t xml:space="preserve">Фактический адрес:</w:t>
            </w:r>
            <w:r>
              <w:rPr>
                <w:rFonts w:ascii="Arial" w:cs="Arial" w:eastAsia="Arial" w:hAnsi="Arial"/>
                <w:b w:val="false"/>
                <w:bCs w:val="false"/>
                <w:i w:val="false"/>
                <w:iCs w:val="false"/>
                <w:color w:val="2A2F3B"/>
                <w:sz w:val="20"/>
                <w:szCs w:val="20"/>
              </w:rPr>
              <w:t xml:space="preserve"> ______________</w:t>
            </w:r>
          </w:p>
          <w:p>
            <w:pPr>
              <w:spacing w:after="120" w:before="0" w:line="300"/>
              <w:jc w:val="left"/>
            </w:pPr>
            <w:r>
              <w:rPr>
                <w:rFonts w:ascii="Arial" w:cs="Arial" w:eastAsia="Arial" w:hAnsi="Arial"/>
                <w:b/>
                <w:bCs/>
                <w:i w:val="false"/>
                <w:iCs w:val="false"/>
                <w:color w:val="2A2F3B"/>
                <w:sz w:val="20"/>
                <w:szCs w:val="20"/>
              </w:rPr>
              <w:t xml:space="preserve">Тел.:</w:t>
            </w:r>
            <w:r>
              <w:rPr>
                <w:rFonts w:ascii="Arial" w:cs="Arial" w:eastAsia="Arial" w:hAnsi="Arial"/>
                <w:b w:val="false"/>
                <w:bCs w:val="false"/>
                <w:i w:val="false"/>
                <w:iCs w:val="false"/>
                <w:color w:val="2A2F3B"/>
                <w:sz w:val="20"/>
                <w:szCs w:val="20"/>
              </w:rPr>
              <w:t xml:space="preserve"> __________________________</w:t>
            </w:r>
          </w:p>
          <w:p>
            <w:pPr>
              <w:spacing w:after="120" w:before="0" w:line="300"/>
              <w:jc w:val="left"/>
            </w:pPr>
            <w:r>
              <w:rPr>
                <w:rFonts w:ascii="Arial" w:cs="Arial" w:eastAsia="Arial" w:hAnsi="Arial"/>
                <w:b/>
                <w:bCs/>
                <w:i w:val="false"/>
                <w:iCs w:val="false"/>
                <w:color w:val="2A2F3B"/>
                <w:sz w:val="20"/>
                <w:szCs w:val="20"/>
              </w:rPr>
              <w:t xml:space="preserve">Email:</w:t>
            </w:r>
            <w:r>
              <w:rPr>
                <w:rFonts w:ascii="Arial" w:cs="Arial" w:eastAsia="Arial" w:hAnsi="Arial"/>
                <w:b w:val="false"/>
                <w:bCs w:val="false"/>
                <w:i w:val="false"/>
                <w:iCs w:val="false"/>
                <w:color w:val="2A2F3B"/>
                <w:sz w:val="20"/>
                <w:szCs w:val="20"/>
              </w:rPr>
              <w:t xml:space="preserve"> _________________________</w:t>
            </w:r>
          </w:p>
          <w:p>
            <w:pPr>
              <w:spacing w:after="120" w:before="0" w:line="300"/>
              <w:jc w:val="left"/>
            </w:pPr>
            <w:r>
              <w:rPr>
                <w:rFonts w:ascii="Arial" w:cs="Arial" w:eastAsia="Arial" w:hAnsi="Arial"/>
                <w:b/>
                <w:bCs/>
                <w:i w:val="false"/>
                <w:iCs w:val="false"/>
                <w:color w:val="2A2F3B"/>
                <w:sz w:val="20"/>
                <w:szCs w:val="20"/>
              </w:rPr>
              <w:t xml:space="preserve">ИНН:</w:t>
            </w:r>
            <w:r>
              <w:rPr>
                <w:rFonts w:ascii="Arial" w:cs="Arial" w:eastAsia="Arial" w:hAnsi="Arial"/>
                <w:b w:val="false"/>
                <w:bCs w:val="false"/>
                <w:i w:val="false"/>
                <w:iCs w:val="false"/>
                <w:color w:val="2A2F3B"/>
                <w:sz w:val="20"/>
                <w:szCs w:val="20"/>
              </w:rPr>
              <w:t xml:space="preserve"> __________________________</w:t>
            </w:r>
          </w:p>
          <w:p>
            <w:pPr>
              <w:spacing w:after="120" w:before="0" w:line="300"/>
              <w:jc w:val="left"/>
            </w:pPr>
            <w:r>
              <w:rPr>
                <w:rFonts w:ascii="Arial" w:cs="Arial" w:eastAsia="Arial" w:hAnsi="Arial"/>
                <w:b/>
                <w:bCs/>
                <w:i w:val="false"/>
                <w:iCs w:val="false"/>
                <w:color w:val="2A2F3B"/>
                <w:sz w:val="20"/>
                <w:szCs w:val="20"/>
              </w:rPr>
              <w:t xml:space="preserve">СНИЛС:</w:t>
            </w:r>
            <w:r>
              <w:rPr>
                <w:rFonts w:ascii="Arial" w:cs="Arial" w:eastAsia="Arial" w:hAnsi="Arial"/>
                <w:b w:val="false"/>
                <w:bCs w:val="false"/>
                <w:i w:val="false"/>
                <w:iCs w:val="false"/>
                <w:color w:val="2A2F3B"/>
                <w:sz w:val="20"/>
                <w:szCs w:val="20"/>
              </w:rPr>
              <w:t xml:space="preserve"> ________________________</w:t>
            </w:r>
          </w:p>
          <w:p>
            <w:pPr>
              <w:spacing w:after="0" w:before="280"/>
            </w:pPr>
            <w:r>
              <w:rPr>
                <w:rFonts w:ascii="Arial" w:cs="Arial" w:eastAsia="Arial" w:hAnsi="Arial"/>
                <w:b/>
                <w:bCs/>
                <w:i w:val="false"/>
                <w:iCs w:val="false"/>
                <w:color w:val="2A2F3B"/>
                <w:sz w:val="22"/>
                <w:szCs w:val="22"/>
              </w:rPr>
              <w:t xml:space="preserve">_____________________ / </w:t>
            </w:r>
            <w:r>
              <w:rPr>
                <w:rFonts w:ascii="Arial" w:cs="Arial" w:eastAsia="Arial" w:hAnsi="Arial"/>
                <w:b/>
                <w:bCs/>
                <w:i w:val="false"/>
                <w:iCs w:val="false"/>
                <w:color w:val="2A2F3B"/>
                <w:sz w:val="22"/>
                <w:szCs w:val="22"/>
              </w:rPr>
              <w:t xml:space="preserve">__________________</w:t>
            </w:r>
          </w:p>
          <w:p>
            <w:pPr>
              <w:spacing w:after="0"/>
            </w:pPr>
            <w:r>
              <w:rPr>
                <w:rFonts w:ascii="Arial" w:cs="Arial" w:eastAsia="Arial" w:hAnsi="Arial"/>
                <w:b w:val="false"/>
                <w:bCs w:val="false"/>
                <w:i/>
                <w:iCs/>
                <w:color w:val="555555"/>
                <w:sz w:val="17"/>
                <w:szCs w:val="17"/>
              </w:rPr>
              <w:t xml:space="preserve">(подпись, расшифровка)</w:t>
            </w:r>
          </w:p>
        </w:tc>
        <w:tc>
          <w:tcPr>
            <w:tcW w:type="dxa" w:w="4680"/>
            <w:tcBorders>
              <w:top w:val="single" w:color="C8A850" w:sz="6"/>
              <w:left w:val="single" w:color="C8A850" w:sz="6"/>
              <w:bottom w:val="single" w:color="C8A850" w:sz="6"/>
              <w:right w:val="single" w:color="C8A850" w:sz="6"/>
            </w:tcBorders>
            <w:shd w:fill="F5F3EE" w:val="clear"/>
            <w:tcMar>
              <w:top w:type="dxa" w:w="120"/>
              <w:left w:type="dxa" w:w="160"/>
              <w:bottom w:type="dxa" w:w="120"/>
              <w:right w:type="dxa" w:w="160"/>
            </w:tcMar>
          </w:tcPr>
          <w:p>
            <w:pPr>
              <w:spacing w:after="120"/>
              <w:jc w:val="center"/>
            </w:pPr>
            <w:r>
              <w:rPr>
                <w:rFonts w:ascii="Arial" w:cs="Arial" w:eastAsia="Arial" w:hAnsi="Arial"/>
                <w:b/>
                <w:bCs/>
                <w:color w:val="2A2F3B"/>
                <w:sz w:val="24"/>
                <w:szCs w:val="24"/>
              </w:rPr>
              <w:t xml:space="preserve">СТОРОНА 2</w:t>
            </w:r>
          </w:p>
          <w:p>
            <w:pPr>
              <w:spacing w:after="120" w:before="0" w:line="300"/>
              <w:jc w:val="left"/>
            </w:pPr>
            <w:r>
              <w:rPr>
                <w:rFonts w:ascii="Arial" w:cs="Arial" w:eastAsia="Arial" w:hAnsi="Arial"/>
                <w:b/>
                <w:bCs/>
                <w:i w:val="false"/>
                <w:iCs w:val="false"/>
                <w:color w:val="2A2F3B"/>
                <w:sz w:val="20"/>
                <w:szCs w:val="20"/>
              </w:rPr>
              <w:t xml:space="preserve">ФИО:</w:t>
            </w:r>
            <w:r>
              <w:rPr>
                <w:rFonts w:ascii="Arial" w:cs="Arial" w:eastAsia="Arial" w:hAnsi="Arial"/>
                <w:b w:val="false"/>
                <w:bCs w:val="false"/>
                <w:i w:val="false"/>
                <w:iCs w:val="false"/>
                <w:color w:val="2A2F3B"/>
                <w:sz w:val="20"/>
                <w:szCs w:val="20"/>
              </w:rPr>
              <w:t xml:space="preserve"> ___________________________</w:t>
            </w:r>
          </w:p>
          <w:p>
            <w:pPr>
              <w:spacing w:after="120" w:before="0" w:line="300"/>
              <w:jc w:val="left"/>
            </w:pPr>
            <w:r>
              <w:rPr>
                <w:rFonts w:ascii="Arial" w:cs="Arial" w:eastAsia="Arial" w:hAnsi="Arial"/>
                <w:b/>
                <w:bCs/>
                <w:i w:val="false"/>
                <w:iCs w:val="false"/>
                <w:color w:val="2A2F3B"/>
                <w:sz w:val="20"/>
                <w:szCs w:val="20"/>
              </w:rPr>
              <w:t xml:space="preserve">Дата рождения:</w:t>
            </w:r>
            <w:r>
              <w:rPr>
                <w:rFonts w:ascii="Arial" w:cs="Arial" w:eastAsia="Arial" w:hAnsi="Arial"/>
                <w:b w:val="false"/>
                <w:bCs w:val="false"/>
                <w:i w:val="false"/>
                <w:iCs w:val="false"/>
                <w:color w:val="2A2F3B"/>
                <w:sz w:val="20"/>
                <w:szCs w:val="20"/>
              </w:rPr>
              <w:t xml:space="preserve"> _______________</w:t>
            </w:r>
          </w:p>
          <w:p>
            <w:pPr>
              <w:spacing w:after="120" w:before="0" w:line="300"/>
              <w:jc w:val="left"/>
            </w:pPr>
            <w:r>
              <w:rPr>
                <w:rFonts w:ascii="Arial" w:cs="Arial" w:eastAsia="Arial" w:hAnsi="Arial"/>
                <w:b/>
                <w:bCs/>
                <w:i w:val="false"/>
                <w:iCs w:val="false"/>
                <w:color w:val="2A2F3B"/>
                <w:sz w:val="20"/>
                <w:szCs w:val="20"/>
              </w:rPr>
              <w:t xml:space="preserve">Паспорт серия:</w:t>
            </w:r>
            <w:r>
              <w:rPr>
                <w:rFonts w:ascii="Arial" w:cs="Arial" w:eastAsia="Arial" w:hAnsi="Arial"/>
                <w:b w:val="false"/>
                <w:bCs w:val="false"/>
                <w:i w:val="false"/>
                <w:iCs w:val="false"/>
                <w:color w:val="2A2F3B"/>
                <w:sz w:val="20"/>
                <w:szCs w:val="20"/>
              </w:rPr>
              <w:t xml:space="preserve"> ____ № __________</w:t>
            </w:r>
          </w:p>
          <w:p>
            <w:pPr>
              <w:spacing w:after="120" w:before="0" w:line="300"/>
              <w:jc w:val="left"/>
            </w:pPr>
            <w:r>
              <w:rPr>
                <w:rFonts w:ascii="Arial" w:cs="Arial" w:eastAsia="Arial" w:hAnsi="Arial"/>
                <w:b/>
                <w:bCs/>
                <w:i w:val="false"/>
                <w:iCs w:val="false"/>
                <w:color w:val="2A2F3B"/>
                <w:sz w:val="20"/>
                <w:szCs w:val="20"/>
              </w:rPr>
              <w:t xml:space="preserve">Выдан:</w:t>
            </w:r>
            <w:r>
              <w:rPr>
                <w:rFonts w:ascii="Arial" w:cs="Arial" w:eastAsia="Arial" w:hAnsi="Arial"/>
                <w:b w:val="false"/>
                <w:bCs w:val="false"/>
                <w:i w:val="false"/>
                <w:iCs w:val="false"/>
                <w:color w:val="2A2F3B"/>
                <w:sz w:val="20"/>
                <w:szCs w:val="20"/>
              </w:rPr>
              <w:t xml:space="preserve"> _______________________</w:t>
            </w:r>
          </w:p>
          <w:p>
            <w:pPr>
              <w:spacing w:after="120" w:before="0" w:line="300"/>
              <w:jc w:val="left"/>
            </w:pPr>
            <w:r>
              <w:rPr>
                <w:rFonts w:ascii="Arial" w:cs="Arial" w:eastAsia="Arial" w:hAnsi="Arial"/>
                <w:b/>
                <w:bCs/>
                <w:i w:val="false"/>
                <w:iCs w:val="false"/>
                <w:color w:val="2A2F3B"/>
                <w:sz w:val="20"/>
                <w:szCs w:val="20"/>
              </w:rPr>
              <w:t xml:space="preserve">«___» _________ _____ г.</w:t>
            </w:r>
            <w:r>
              <w:rPr>
                <w:rFonts w:ascii="Arial" w:cs="Arial" w:eastAsia="Arial" w:hAnsi="Arial"/>
                <w:b w:val="false"/>
                <w:bCs w:val="false"/>
                <w:i w:val="false"/>
                <w:iCs w:val="false"/>
                <w:color w:val="2A2F3B"/>
                <w:sz w:val="20"/>
                <w:szCs w:val="20"/>
              </w:rPr>
              <w:t xml:space="preserve"> </w:t>
            </w:r>
          </w:p>
          <w:p>
            <w:pPr>
              <w:spacing w:after="120" w:before="0" w:line="300"/>
              <w:jc w:val="left"/>
            </w:pPr>
            <w:r>
              <w:rPr>
                <w:rFonts w:ascii="Arial" w:cs="Arial" w:eastAsia="Arial" w:hAnsi="Arial"/>
                <w:b/>
                <w:bCs/>
                <w:i w:val="false"/>
                <w:iCs w:val="false"/>
                <w:color w:val="2A2F3B"/>
                <w:sz w:val="20"/>
                <w:szCs w:val="20"/>
              </w:rPr>
              <w:t xml:space="preserve">Код подразделения:</w:t>
            </w:r>
            <w:r>
              <w:rPr>
                <w:rFonts w:ascii="Arial" w:cs="Arial" w:eastAsia="Arial" w:hAnsi="Arial"/>
                <w:b w:val="false"/>
                <w:bCs w:val="false"/>
                <w:i w:val="false"/>
                <w:iCs w:val="false"/>
                <w:color w:val="2A2F3B"/>
                <w:sz w:val="20"/>
                <w:szCs w:val="20"/>
              </w:rPr>
              <w:t xml:space="preserve"> ______________</w:t>
            </w:r>
          </w:p>
          <w:p>
            <w:pPr>
              <w:spacing w:after="120" w:before="0" w:line="300"/>
              <w:jc w:val="left"/>
            </w:pPr>
            <w:r>
              <w:rPr>
                <w:rFonts w:ascii="Arial" w:cs="Arial" w:eastAsia="Arial" w:hAnsi="Arial"/>
                <w:b/>
                <w:bCs/>
                <w:i w:val="false"/>
                <w:iCs w:val="false"/>
                <w:color w:val="2A2F3B"/>
                <w:sz w:val="20"/>
                <w:szCs w:val="20"/>
              </w:rPr>
              <w:t xml:space="preserve">Адрес регистрации:</w:t>
            </w:r>
            <w:r>
              <w:rPr>
                <w:rFonts w:ascii="Arial" w:cs="Arial" w:eastAsia="Arial" w:hAnsi="Arial"/>
                <w:b w:val="false"/>
                <w:bCs w:val="false"/>
                <w:i w:val="false"/>
                <w:iCs w:val="false"/>
                <w:color w:val="2A2F3B"/>
                <w:sz w:val="20"/>
                <w:szCs w:val="20"/>
              </w:rPr>
              <w:t xml:space="preserve"> ______________</w:t>
            </w:r>
          </w:p>
          <w:p>
            <w:pPr>
              <w:spacing w:after="120" w:before="0" w:line="300"/>
              <w:jc w:val="left"/>
            </w:pPr>
            <w:r>
              <w:rPr>
                <w:rFonts w:ascii="Arial" w:cs="Arial" w:eastAsia="Arial" w:hAnsi="Arial"/>
                <w:b/>
                <w:bCs/>
                <w:i w:val="false"/>
                <w:iCs w:val="false"/>
                <w:color w:val="2A2F3B"/>
                <w:sz w:val="20"/>
                <w:szCs w:val="20"/>
              </w:rPr>
              <w:t xml:space="preserve">Фактический адрес:</w:t>
            </w:r>
            <w:r>
              <w:rPr>
                <w:rFonts w:ascii="Arial" w:cs="Arial" w:eastAsia="Arial" w:hAnsi="Arial"/>
                <w:b w:val="false"/>
                <w:bCs w:val="false"/>
                <w:i w:val="false"/>
                <w:iCs w:val="false"/>
                <w:color w:val="2A2F3B"/>
                <w:sz w:val="20"/>
                <w:szCs w:val="20"/>
              </w:rPr>
              <w:t xml:space="preserve"> ______________</w:t>
            </w:r>
          </w:p>
          <w:p>
            <w:pPr>
              <w:spacing w:after="120" w:before="0" w:line="300"/>
              <w:jc w:val="left"/>
            </w:pPr>
            <w:r>
              <w:rPr>
                <w:rFonts w:ascii="Arial" w:cs="Arial" w:eastAsia="Arial" w:hAnsi="Arial"/>
                <w:b/>
                <w:bCs/>
                <w:i w:val="false"/>
                <w:iCs w:val="false"/>
                <w:color w:val="2A2F3B"/>
                <w:sz w:val="20"/>
                <w:szCs w:val="20"/>
              </w:rPr>
              <w:t xml:space="preserve">Тел.:</w:t>
            </w:r>
            <w:r>
              <w:rPr>
                <w:rFonts w:ascii="Arial" w:cs="Arial" w:eastAsia="Arial" w:hAnsi="Arial"/>
                <w:b w:val="false"/>
                <w:bCs w:val="false"/>
                <w:i w:val="false"/>
                <w:iCs w:val="false"/>
                <w:color w:val="2A2F3B"/>
                <w:sz w:val="20"/>
                <w:szCs w:val="20"/>
              </w:rPr>
              <w:t xml:space="preserve"> __________________________</w:t>
            </w:r>
          </w:p>
          <w:p>
            <w:pPr>
              <w:spacing w:after="120" w:before="0" w:line="300"/>
              <w:jc w:val="left"/>
            </w:pPr>
            <w:r>
              <w:rPr>
                <w:rFonts w:ascii="Arial" w:cs="Arial" w:eastAsia="Arial" w:hAnsi="Arial"/>
                <w:b/>
                <w:bCs/>
                <w:i w:val="false"/>
                <w:iCs w:val="false"/>
                <w:color w:val="2A2F3B"/>
                <w:sz w:val="20"/>
                <w:szCs w:val="20"/>
              </w:rPr>
              <w:t xml:space="preserve">Email:</w:t>
            </w:r>
            <w:r>
              <w:rPr>
                <w:rFonts w:ascii="Arial" w:cs="Arial" w:eastAsia="Arial" w:hAnsi="Arial"/>
                <w:b w:val="false"/>
                <w:bCs w:val="false"/>
                <w:i w:val="false"/>
                <w:iCs w:val="false"/>
                <w:color w:val="2A2F3B"/>
                <w:sz w:val="20"/>
                <w:szCs w:val="20"/>
              </w:rPr>
              <w:t xml:space="preserve"> _________________________</w:t>
            </w:r>
          </w:p>
          <w:p>
            <w:pPr>
              <w:spacing w:after="120" w:before="0" w:line="300"/>
              <w:jc w:val="left"/>
            </w:pPr>
            <w:r>
              <w:rPr>
                <w:rFonts w:ascii="Arial" w:cs="Arial" w:eastAsia="Arial" w:hAnsi="Arial"/>
                <w:b/>
                <w:bCs/>
                <w:i w:val="false"/>
                <w:iCs w:val="false"/>
                <w:color w:val="2A2F3B"/>
                <w:sz w:val="20"/>
                <w:szCs w:val="20"/>
              </w:rPr>
              <w:t xml:space="preserve">ИНН:</w:t>
            </w:r>
            <w:r>
              <w:rPr>
                <w:rFonts w:ascii="Arial" w:cs="Arial" w:eastAsia="Arial" w:hAnsi="Arial"/>
                <w:b w:val="false"/>
                <w:bCs w:val="false"/>
                <w:i w:val="false"/>
                <w:iCs w:val="false"/>
                <w:color w:val="2A2F3B"/>
                <w:sz w:val="20"/>
                <w:szCs w:val="20"/>
              </w:rPr>
              <w:t xml:space="preserve"> __________________________</w:t>
            </w:r>
          </w:p>
          <w:p>
            <w:pPr>
              <w:spacing w:after="120" w:before="0" w:line="300"/>
              <w:jc w:val="left"/>
            </w:pPr>
            <w:r>
              <w:rPr>
                <w:rFonts w:ascii="Arial" w:cs="Arial" w:eastAsia="Arial" w:hAnsi="Arial"/>
                <w:b/>
                <w:bCs/>
                <w:i w:val="false"/>
                <w:iCs w:val="false"/>
                <w:color w:val="2A2F3B"/>
                <w:sz w:val="20"/>
                <w:szCs w:val="20"/>
              </w:rPr>
              <w:t xml:space="preserve">СНИЛС:</w:t>
            </w:r>
            <w:r>
              <w:rPr>
                <w:rFonts w:ascii="Arial" w:cs="Arial" w:eastAsia="Arial" w:hAnsi="Arial"/>
                <w:b w:val="false"/>
                <w:bCs w:val="false"/>
                <w:i w:val="false"/>
                <w:iCs w:val="false"/>
                <w:color w:val="2A2F3B"/>
                <w:sz w:val="20"/>
                <w:szCs w:val="20"/>
              </w:rPr>
              <w:t xml:space="preserve"> ________________________</w:t>
            </w:r>
          </w:p>
          <w:p>
            <w:pPr>
              <w:spacing w:after="0" w:before="280"/>
            </w:pPr>
            <w:r>
              <w:rPr>
                <w:rFonts w:ascii="Arial" w:cs="Arial" w:eastAsia="Arial" w:hAnsi="Arial"/>
                <w:b/>
                <w:bCs/>
                <w:i w:val="false"/>
                <w:iCs w:val="false"/>
                <w:color w:val="2A2F3B"/>
                <w:sz w:val="22"/>
                <w:szCs w:val="22"/>
              </w:rPr>
              <w:t xml:space="preserve">_____________________ / </w:t>
            </w:r>
            <w:r>
              <w:rPr>
                <w:rFonts w:ascii="Arial" w:cs="Arial" w:eastAsia="Arial" w:hAnsi="Arial"/>
                <w:b/>
                <w:bCs/>
                <w:i w:val="false"/>
                <w:iCs w:val="false"/>
                <w:color w:val="2A2F3B"/>
                <w:sz w:val="22"/>
                <w:szCs w:val="22"/>
              </w:rPr>
              <w:t xml:space="preserve">__________________</w:t>
            </w:r>
          </w:p>
          <w:p>
            <w:pPr>
              <w:spacing w:after="0"/>
            </w:pPr>
            <w:r>
              <w:rPr>
                <w:rFonts w:ascii="Arial" w:cs="Arial" w:eastAsia="Arial" w:hAnsi="Arial"/>
                <w:b w:val="false"/>
                <w:bCs w:val="false"/>
                <w:i/>
                <w:iCs/>
                <w:color w:val="555555"/>
                <w:sz w:val="17"/>
                <w:szCs w:val="17"/>
              </w:rPr>
              <w:t xml:space="preserve">(подпись, расшифровка)</w:t>
            </w:r>
          </w:p>
        </w:tc>
      </w:tr>
    </w:tbl>
    <w:p>
      <w:pPr>
        <w:spacing w:after="120" w:before="360"/>
        <w:jc w:val="center"/>
      </w:pPr>
      <w:r>
        <w:drawing>
          <wp:inline distT="0" distB="0" distL="0" distR="0">
            <wp:extent cx="914400" cy="9144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914400" cy="914400"/>
                    </a:xfrm>
                    <a:prstGeom prst="rect">
                      <a:avLst/>
                    </a:prstGeom>
                  </pic:spPr>
                </pic:pic>
              </a:graphicData>
            </a:graphic>
          </wp:inline>
        </w:drawing>
      </w:r>
    </w:p>
    <w:p>
      <w:pPr>
        <w:spacing w:after="60"/>
        <w:jc w:val="center"/>
      </w:pPr>
      <w:r>
        <w:rPr>
          <w:rFonts w:ascii="Arial" w:cs="Arial" w:eastAsia="Arial" w:hAnsi="Arial"/>
          <w:color w:val="555555"/>
          <w:sz w:val="18"/>
          <w:szCs w:val="18"/>
        </w:rPr>
        <w:t xml:space="preserve">Актуальная редакция и все приложения</w:t>
      </w:r>
    </w:p>
    <w:p>
      <w:pPr>
        <w:spacing w:after="0"/>
        <w:jc w:val="center"/>
      </w:pPr>
      <w:r>
        <w:rPr>
          <w:rFonts w:ascii="Arial" w:cs="Arial" w:eastAsia="Arial" w:hAnsi="Arial"/>
          <w:b/>
          <w:bCs/>
          <w:color w:val="D6001C"/>
          <w:sz w:val="22"/>
          <w:szCs w:val="22"/>
        </w:rPr>
        <w:t xml:space="preserve">lot-click.ru</w:t>
      </w:r>
    </w:p>
    <w:sectPr>
      <w:headerReference w:type="default" r:id="rId7"/>
      <w:footerReference w:type="default" r:id="rId8"/>
      <w:pgSz w:w="11906" w:h="16838" w:orient="portrait"/>
      <w:pgMar w:top="1200" w:right="1200" w:bottom="1440" w:left="1200" w:header="400" w:footer="4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C8A850" w:sz="4"/>
        <w:left w:val="none" w:color="FFFFFF" w:sz="0"/>
        <w:bottom w:val="none" w:color="FFFFFF" w:sz="0"/>
        <w:right w:val="none" w:color="FFFFFF" w:sz="0"/>
        <w:insideH w:val="none" w:color="FFFFFF" w:sz="0"/>
        <w:insideV w:val="none" w:color="FFFFFF" w:sz="0"/>
      </w:tblBorders>
    </w:tblPr>
    <w:tblGrid>
      <w:gridCol w:w="1440"/>
      <w:gridCol w:w="5760"/>
      <w:gridCol w:w="2160"/>
    </w:tblGrid>
    <w:tr>
      <w:tc>
        <w:tcPr>
          <w:tcW w:type="dxa" w:w="1440"/>
          <w:tcBorders>
            <w:top w:val="none" w:color="FFFFFF" w:sz="0"/>
            <w:left w:val="none" w:color="FFFFFF" w:sz="0"/>
            <w:bottom w:val="none" w:color="FFFFFF" w:sz="0"/>
            <w:right w:val="none" w:color="FFFFFF" w:sz="0"/>
          </w:tcBorders>
          <w:tcMar>
            <w:top w:type="dxa" w:w="80"/>
            <w:left w:type="dxa" w:w="0"/>
            <w:bottom w:type="dxa" w:w="80"/>
            <w:right w:type="dxa" w:w="80"/>
          </w:tcMar>
          <w:vAlign w:val="center"/>
        </w:tcPr>
        <w:p>
          <w:pPr>
            <w:spacing w:after="0"/>
            <w:jc w:val="left"/>
          </w:pPr>
          <w:r>
            <w:drawing>
              <wp:inline distT="0" distB="0" distL="0" distR="0">
                <wp:extent cx="609600" cy="609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09600" cy="609600"/>
                        </a:xfrm>
                        <a:prstGeom prst="rect">
                          <a:avLst/>
                        </a:prstGeom>
                      </pic:spPr>
                    </pic:pic>
                  </a:graphicData>
                </a:graphic>
              </wp:inline>
            </w:drawing>
          </w:r>
        </w:p>
      </w:tc>
      <w:tc>
        <w:tcPr>
          <w:tcW w:type="dxa" w:w="5760"/>
          <w:tcBorders>
            <w:top w:val="none" w:color="FFFFFF" w:sz="0"/>
            <w:left w:val="none" w:color="FFFFFF" w:sz="0"/>
            <w:bottom w:val="none" w:color="FFFFFF" w:sz="0"/>
            <w:right w:val="none" w:color="FFFFFF" w:sz="0"/>
          </w:tcBorders>
          <w:tcMar>
            <w:top w:type="dxa" w:w="80"/>
            <w:left w:type="dxa" w:w="80"/>
            <w:bottom w:type="dxa" w:w="80"/>
            <w:right w:type="dxa" w:w="80"/>
          </w:tcMar>
          <w:vAlign w:val="center"/>
        </w:tcPr>
        <w:p>
          <w:pPr>
            <w:spacing w:after="30"/>
          </w:pPr>
          <w:r>
            <w:rPr>
              <w:rFonts w:ascii="Arial" w:cs="Arial" w:eastAsia="Arial" w:hAnsi="Arial"/>
              <w:b/>
              <w:bCs/>
              <w:color w:val="2A2F3B"/>
              <w:sz w:val="18"/>
              <w:szCs w:val="18"/>
            </w:rPr>
            <w:t xml:space="preserve">ЛОТ·КЛИК</w:t>
          </w:r>
          <w:r>
            <w:rPr>
              <w:rFonts w:ascii="Arial" w:cs="Arial" w:eastAsia="Arial" w:hAnsi="Arial"/>
              <w:color w:val="555555"/>
              <w:sz w:val="16"/>
              <w:szCs w:val="16"/>
            </w:rPr>
            <w:t xml:space="preserve">  ·  брокерское сопровождение торгов по банкротству</w:t>
          </w:r>
        </w:p>
        <w:p>
          <w:pPr>
            <w:spacing w:after="0"/>
          </w:pPr>
          <w:r>
            <w:rPr>
              <w:rFonts w:ascii="Arial" w:cs="Arial" w:eastAsia="Arial" w:hAnsi="Arial"/>
              <w:color w:val="555555"/>
              <w:sz w:val="15"/>
              <w:szCs w:val="15"/>
            </w:rPr>
            <w:t xml:space="preserve">ИП Капустин С.А.   ИНН 590419377214   ОГРНИП 324595800072592</w:t>
          </w:r>
        </w:p>
        <w:p>
          <w:pPr>
            <w:spacing w:after="0"/>
          </w:pPr>
          <w:r>
            <w:rPr>
              <w:rFonts w:ascii="Arial" w:cs="Arial" w:eastAsia="Arial" w:hAnsi="Arial"/>
              <w:color w:val="555555"/>
              <w:sz w:val="15"/>
              <w:szCs w:val="15"/>
            </w:rPr>
            <w:t xml:space="preserve">lot-click.ru  ·  lotclick@mail.ru  ·  +7 (912) 059-90-59  ·  @LOTCLICK</w:t>
          </w:r>
        </w:p>
      </w:tc>
      <w:tc>
        <w:tcPr>
          <w:tcW w:type="dxa" w:w="2160"/>
          <w:tcBorders>
            <w:top w:val="none" w:color="FFFFFF" w:sz="0"/>
            <w:left w:val="none" w:color="FFFFFF" w:sz="0"/>
            <w:bottom w:val="none" w:color="FFFFFF" w:sz="0"/>
            <w:right w:val="none" w:color="FFFFFF" w:sz="0"/>
          </w:tcBorders>
          <w:tcMar>
            <w:top w:type="dxa" w:w="80"/>
            <w:left w:type="dxa" w:w="80"/>
            <w:bottom w:type="dxa" w:w="80"/>
            <w:right w:type="dxa" w:w="0"/>
          </w:tcMar>
          <w:vAlign w:val="center"/>
        </w:tcPr>
        <w:p>
          <w:pPr>
            <w:spacing w:after="0"/>
            <w:jc w:val="right"/>
          </w:pPr>
          <w:r>
            <w:rPr>
              <w:rFonts w:ascii="Arial" w:cs="Arial" w:eastAsia="Arial" w:hAnsi="Arial"/>
              <w:color w:val="555555"/>
              <w:sz w:val="18"/>
              <w:szCs w:val="18"/>
            </w:rPr>
            <w:t xml:space="preserve">с. </w:t>
          </w:r>
          <w:r>
            <w:rPr>
              <w:rFonts w:ascii="Arial" w:cs="Arial" w:eastAsia="Arial" w:hAnsi="Arial"/>
              <w:b/>
              <w:bCs/>
              <w:color w:val="2A2F3B"/>
              <w:sz w:val="18"/>
              <w:szCs w:val="18"/>
            </w:rPr>
            <w:fldChar w:fldCharType="begin"/>
            <w:instrText xml:space="preserve">PAGE</w:instrText>
            <w:fldChar w:fldCharType="separate"/>
            <w:fldChar w:fldCharType="end"/>
          </w:r>
          <w:r>
            <w:rPr>
              <w:rFonts w:ascii="Arial" w:cs="Arial" w:eastAsia="Arial" w:hAnsi="Arial"/>
              <w:color w:val="555555"/>
              <w:sz w:val="18"/>
              <w:szCs w:val="18"/>
            </w:rPr>
            <w:t xml:space="preserve"> из </w:t>
          </w:r>
          <w:r>
            <w:rPr>
              <w:rFonts w:ascii="Arial" w:cs="Arial" w:eastAsia="Arial" w:hAnsi="Arial"/>
              <w:b/>
              <w:bCs/>
              <w:color w:val="2A2F3B"/>
              <w:sz w:val="18"/>
              <w:szCs w:val="18"/>
            </w:rPr>
            <w:fldChar w:fldCharType="begin"/>
            <w:instrText xml:space="preserve">NUMPAGES</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60"/>
      <w:jc w:val="center"/>
    </w:pPr>
    <w:r>
      <w:drawing>
        <wp:inline distT="0" distB="0" distL="0" distR="0">
          <wp:extent cx="6286500" cy="5048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286500" cy="5048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2A2F3B"/>
      <w:sz w:val="26"/>
      <w:szCs w:val="26"/>
    </w:rPr>
  </w:style>
  <w:style w:type="paragraph" w:styleId="Heading2">
    <w:name w:val="Heading 2"/>
    <w:basedOn w:val="Normal"/>
    <w:next w:val="Normal"/>
    <w:qFormat/>
    <w:pPr>
      <w:spacing w:after="100" w:before="200"/>
      <w:outlineLvl w:val="1"/>
    </w:pPr>
    <w:rPr>
      <w:rFonts w:ascii="Arial" w:cs="Arial" w:eastAsia="Arial" w:hAnsi="Arial"/>
      <w:b/>
      <w:bCs/>
      <w:color w:val="2A2F3B"/>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e11def6a9b086dce92154835debd50d9a6744366.png"/><Relationship Id="rId10" Type="http://schemas.openxmlformats.org/officeDocument/2006/relationships/image" Target="media/138d511de5ba2b36134d37241733e2703cb4bf44.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Relationship Id="rId0" Type="http://schemas.openxmlformats.org/officeDocument/2006/relationships/image" Target="media/138d511de5ba2b36134d37241733e2703cb4bf44.png"/></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421286d3f2e45b10fa1a3d14632e576b35860fd7.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Защитные оговорки</dc:title>
  <dc:creator>ЛОТ·КЛИК</dc:creator>
  <dc:description>Приложение к договорам</dc:description>
  <cp:lastModifiedBy>Un-named</cp:lastModifiedBy>
  <cp:revision>1</cp:revision>
  <dcterms:created xsi:type="dcterms:W3CDTF">2026-04-22T07:31:47.846Z</dcterms:created>
  <dcterms:modified xsi:type="dcterms:W3CDTF">2026-04-22T07:31:47.846Z</dcterms:modified>
</cp:coreProperties>
</file>

<file path=docProps/custom.xml><?xml version="1.0" encoding="utf-8"?>
<Properties xmlns="http://schemas.openxmlformats.org/officeDocument/2006/custom-properties" xmlns:vt="http://schemas.openxmlformats.org/officeDocument/2006/docPropsVTypes"/>
</file>