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УВЕДОМЛЕНИЕ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о рисках участия в торгах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Приложение к Агентскому договору ЛОТ·КЛИК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ст. 10 ГК РФ; ФЗ-127; ФЗ-229; Закон РФ № 2300-1 «О защите прав потребителей»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200" w:before="0" w:line="3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2A2F3B"/>
          <w:sz w:val="22"/>
          <w:szCs w:val="22"/>
        </w:rPr>
        <w:t xml:space="preserve">Настоящим Уведомлением ИП Капустин С.А. информирует клиента о рисках участия в торгах по банкротству, исполнительному производству и иных публичных торгах.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РИСКИ ПРАВОВОГО ХАРАКТЕРА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оспаривания сделки в деле о банкротстве продавца. Сделки, совершённые должником за 1 или 3 года до принятия заявления о банкротстве, могут быть оспорены арбитражным управляющим или кредиторами по основаниям ст. 61.2, 61.3 ФЗ-127. Признание сделки недействительной влечёт возврат имущества в конкурсную массу; денежные средства Покупателя включаются в реестр требований кредиторов.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прав третьих лиц. На момент торгов могут существовать: зарегистрированные по адресу лица, имеющие право проживания (в том числе несовершеннолетние); арендаторы с долгосрочным договором; залогодержатели; обладатели иных вещных прав.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оспаривания торгов. В соответствии со ст. 449 ГК РФ торги могут быть признаны недействительными в течение 1 года с момента, когда лицо узнало о нарушении своих прав.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двойной регистрации и поддельных документов. В практике встречаются случаи мошеннических действий продавцов с использованием поддельных или устаревших документов.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1.5.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невозможности снятия обременений. Некоторые обременения (арест, залог в пользу публичного кредитора, зарегистрированные права пожизненного пользования) могут сохраняться после перехода права.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РИСКИ ИМУЩЕСТВЕННОГО ХАРАКТЕРА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физического состояния имущества. Имущество на торгах продаётся в состоянии «как есть». Скрытые дефекты (конструкции, инженерные системы, сантехника, проводка) могут потребовать значительных вложений в ремонт.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несоответствия фактических границ данным ЕГРН (для земельных участков). Межевание может выявить несоответствия, требующие дополнительных работ и расходов.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наличия задолженностей: долги по ЖКХ (переходят к новому собственнику на взносы в капитальный ремонт по ст. 158 ЖК РФ); налоговые долги предыдущего собственника (не переходят); задолженность по членским взносам ТСЖ/СНТ.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2.4.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незаконных построек и перепланировок: объекты капитального строительства без разрешения; неузаконенные перепланировки квартир; самовольные занятия земельных участков.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РИСКИ ПРОЦЕДУРНОГО ХАРАКТЕРА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отмены торгов. Торги могут быть отменены или признаны несостоявшимися организатором, судом, по инициативе собрания кредиторов.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технических сбоев ЭТП, приводящих к невозможности подать заявку или участвовать в торгах.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задержки возврата задатка. При нарушении срока возврата (5 рабочих дней по п. 15 ст. 110 ФЗ-127) требуется претензионная и судебная работа.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противодействия должника. При реализации жилья должника могут возникнуть сложности с выселением бывших собственников и регистрированных лиц, требующие судебного разбирательства.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3.5.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переходного периода реформы 2024-2026. С 01.07.2026 имущественные торги проводятся по единым правилам с новой схемой (повышение → снижение при отсутствии заявок → повышение). Правоприменительная практика формируется, возможны неоднозначные трактовки процедуры.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3.6.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публикации сведений только в ЕФРСБ с 01.01.2026. Отмена обязательных публикаций в «Коммерсанте» и «Вестнике Банка России» может сократить круг осведомлённых участников, но требует постоянного мониторинга ЕФРСБ (bankrot.fedresurs.ru).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РИСКИ НАЛОГОВОГО ХАРАКТЕРА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изменения ставок налога на имущество, земельного, транспортного налога после приобретения. Для земельных участков с 2025 года ставка 0,3% применяется только при фактическом использовании по целевому назначению (Определение ВС РФ от 26.06.2025 № 309-ЭС25-172). В противном случае применяется ставка 1,5%.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НДФЛ при последующей продаже (при владении менее 5 лет для недвижимости, менее 3 лет для транспортных средств).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Отсутствие НДС при приобретении имущества банкрота (пп. 15 п. 2 ст. 146 НК РФ) не распространяется на имущество, реализованное Росимуществом или специализированными организациями в порядке ФЗ-229: такие сделки облагаются НДС с особенностями. С 01.01.2026 основная ставка НДС 22% (ФЗ № 425-ФЗ от 28.11.2025); для плательщиков УСН при доходе от 20 млн рублей действуют пониженные ставки 5% (до 272,5 млн) или 7% (до 490,5 млн) без вычетов.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4.4.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Риск изменения УСН/ПСН для ИП-участников торгов. С 01.01.2026 порог освобождения от НДС на УСН снижен до 20 млн рублей (2027, 15 млн; 2028, 10 млн). Лимит ПСН также 20 млн рублей с 2026 года.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МЕРЫ СНИЖЕНИЯ РИСКОВ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Рекомендуется: провести предварительный анализ лота и процедуры банкротства до подачи заявки; получить консультацию специалиста по выявлению рисков; установить разумную предельную цену с учётом возможных дополнительных расходов; оформить титульное страхование (страхование риска утраты права собственности) на срок не менее 3 лет; зарезервировать средства на возможные судебные расходы.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ЛОТ·КЛИК оказывает услуги по предварительному анализу и проверке лотов (см. отдельные договоры).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5.3.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Рекомендуется соблюдение чек-листа добросовестного приобретателя: получение выписки ЕГРН, проверка ЕФРСБ, КАД, ФССП, реестра залогов, визуальный осмотр, безналичные расчёты, соответствие цены рыночному уровню.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ПОДТВЕРЖДЕНИЕ ОЗНАКОМЛЕНИЯ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6.1.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Подписывая настоящее Уведомление, клиент подтверждает, что ознакомлен со всеми указанными рисками и принимает решение об участии в торгах в полной мере понимая возможные последствия.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6.2.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Перечень рисков не является исчерпывающим. Дополнительные риски могут быть выявлены при анализе конкретного лота.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6.3.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Согласно правовой позиции Судебной коллегии по гражданским делам Верховного Суда РФ (Определение от 16.12.2025 по делу Долина, Лурье), приобретатель имущества на торгах, проявивший должную осмотрительность и полагавшийся на данные ЕГРН, признаётся добросовестным и защищается от истребования имущества собственником.</w:t>
      </w:r>
    </w:p>
    <w:p>
      <w:pPr>
        <w:spacing w:after="24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2A2F3B"/>
          <w:sz w:val="22"/>
          <w:szCs w:val="22"/>
        </w:rPr>
        <w:t xml:space="preserve">С рисками ознакомлен(-а): _____________________ / _________________________________</w:t>
      </w:r>
    </w:p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55555"/>
          <w:sz w:val="18"/>
          <w:szCs w:val="18"/>
        </w:rPr>
        <w:t xml:space="preserve">(подпись, расшифровка)                                                «___» _________ 2026 г.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рисках</dc:title>
  <dc:creator>ЛОТ·КЛИК</dc:creator>
  <dc:description>Приложение к договорам торгов</dc:description>
  <cp:lastModifiedBy>Un-named</cp:lastModifiedBy>
  <cp:revision>1</cp:revision>
  <dcterms:created xsi:type="dcterms:W3CDTF">2026-04-22T07:31:47.766Z</dcterms:created>
  <dcterms:modified xsi:type="dcterms:W3CDTF">2026-04-22T07:31:47.766Z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