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80" w:before="240"/>
        <w:jc w:val="center"/>
      </w:pPr>
      <w:r>
        <w:drawing>
          <wp:inline distT="0" distB="0" distL="0" distR="0">
            <wp:extent cx="1333500" cy="1333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1333500" cy="1333500"/>
                    </a:xfrm>
                    <a:prstGeom prst="rect">
                      <a:avLst/>
                    </a:prstGeom>
                  </pic:spPr>
                </pic:pic>
              </a:graphicData>
            </a:graphic>
          </wp:inline>
        </w:drawing>
      </w:r>
    </w:p>
    <w:p>
      <w:pPr>
        <w:spacing w:after="80"/>
        <w:jc w:val="center"/>
      </w:pPr>
      <w:r>
        <w:rPr>
          <w:rFonts w:ascii="Arial" w:cs="Arial" w:eastAsia="Arial" w:hAnsi="Arial"/>
          <w:b/>
          <w:bCs/>
          <w:color w:val="2A2F3B"/>
          <w:sz w:val="38"/>
          <w:szCs w:val="38"/>
        </w:rPr>
        <w:t xml:space="preserve">ПУБЛИЧНАЯ ОФЕРТА</w:t>
      </w:r>
    </w:p>
    <w:p>
      <w:pPr>
        <w:spacing w:after="120"/>
        <w:jc w:val="center"/>
      </w:pPr>
      <w:r>
        <w:rPr>
          <w:rFonts w:ascii="Arial" w:cs="Arial" w:eastAsia="Arial" w:hAnsi="Arial"/>
          <w:b w:val="false"/>
          <w:bCs w:val="false"/>
          <w:color w:val="2A2F3B"/>
          <w:sz w:val="26"/>
          <w:szCs w:val="26"/>
        </w:rPr>
        <w:t xml:space="preserve">на оказание услуг ЛОТ·КЛИК</w:t>
      </w:r>
    </w:p>
    <w:p>
      <w:pPr>
        <w:spacing w:after="240"/>
        <w:jc w:val="center"/>
      </w:pPr>
      <w:r>
        <w:rPr>
          <w:rFonts w:ascii="Arial" w:cs="Arial" w:eastAsia="Arial" w:hAnsi="Arial"/>
          <w:i/>
          <w:iCs/>
          <w:color w:val="555555"/>
          <w:sz w:val="22"/>
          <w:szCs w:val="22"/>
        </w:rPr>
        <w:t xml:space="preserve">договор присоединения   ·   акцепт через оплату</w:t>
      </w:r>
    </w:p>
    <w:p>
      <w:pPr>
        <w:pBdr>
          <w:bottom w:val="single" w:color="C8A850" w:sz="12" w:space="1"/>
        </w:pBdr>
        <w:spacing w:after="180"/>
      </w:pPr>
      <w:r>
        <w:rPr>
          <w:sz w:val="2"/>
          <w:szCs w:val="2"/>
        </w:rPr>
        <w:t xml:space="preserve"/>
      </w:r>
    </w:p>
    <w:p>
      <w:pPr>
        <w:spacing w:after="240"/>
        <w:jc w:val="center"/>
      </w:pPr>
      <w:r>
        <w:rPr>
          <w:rFonts w:ascii="Arial" w:cs="Arial" w:eastAsia="Arial" w:hAnsi="Arial"/>
          <w:b/>
          <w:bCs/>
          <w:color w:val="2A2F3B"/>
          <w:sz w:val="20"/>
          <w:szCs w:val="20"/>
        </w:rPr>
        <w:t xml:space="preserve">Правовая основа: </w:t>
      </w:r>
      <w:r>
        <w:rPr>
          <w:rFonts w:ascii="Arial" w:cs="Arial" w:eastAsia="Arial" w:hAnsi="Arial"/>
          <w:i/>
          <w:iCs/>
          <w:color w:val="555555"/>
          <w:sz w:val="20"/>
          <w:szCs w:val="20"/>
        </w:rPr>
        <w:t xml:space="preserve">ст. 428, 435, 437, 438 ГК РФ; Закон РФ № 2300-1 «О защите прав потребителей»; ФЗ-152; ФЗ-149</w:t>
      </w: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4680"/>
        <w:gridCol w:w="4680"/>
      </w:tblGrid>
      <w:tr>
        <w:tc>
          <w:tcPr>
            <w:tcW w:type="dxa" w:w="4680"/>
            <w:tcBorders>
              <w:top w:val="none" w:color="FFFFFF" w:sz="0"/>
              <w:left w:val="none" w:color="FFFFFF" w:sz="0"/>
              <w:bottom w:val="none" w:color="FFFFFF" w:sz="0"/>
              <w:right w:val="none" w:color="FFFFFF" w:sz="0"/>
            </w:tcBorders>
            <w:tcMar>
              <w:top w:type="dxa" w:w="80"/>
              <w:left w:type="dxa" w:w="0"/>
              <w:bottom w:type="dxa" w:w="80"/>
              <w:right w:type="dxa" w:w="80"/>
            </w:tcMar>
          </w:tcPr>
          <w:p>
            <w:pPr>
              <w:spacing w:after="120" w:before="0" w:line="300"/>
              <w:jc w:val="left"/>
            </w:pPr>
            <w:r>
              <w:rPr>
                <w:rFonts w:ascii="Arial" w:cs="Arial" w:eastAsia="Arial" w:hAnsi="Arial"/>
                <w:b/>
                <w:bCs/>
                <w:i w:val="false"/>
                <w:iCs w:val="false"/>
                <w:color w:val="2A2F3B"/>
                <w:sz w:val="22"/>
                <w:szCs w:val="22"/>
              </w:rPr>
              <w:t xml:space="preserve">г. </w:t>
            </w:r>
            <w:r>
              <w:rPr>
                <w:rFonts w:ascii="Arial" w:cs="Arial" w:eastAsia="Arial" w:hAnsi="Arial"/>
                <w:b w:val="false"/>
                <w:bCs w:val="false"/>
                <w:i w:val="false"/>
                <w:iCs w:val="false"/>
                <w:color w:val="2A2F3B"/>
                <w:sz w:val="22"/>
                <w:szCs w:val="22"/>
              </w:rPr>
              <w:t xml:space="preserve">_________________________</w:t>
            </w:r>
          </w:p>
        </w:tc>
        <w:tc>
          <w:tcPr>
            <w:tcW w:type="dxa" w:w="4680"/>
            <w:tcBorders>
              <w:top w:val="none" w:color="FFFFFF" w:sz="0"/>
              <w:left w:val="none" w:color="FFFFFF" w:sz="0"/>
              <w:bottom w:val="none" w:color="FFFFFF" w:sz="0"/>
              <w:right w:val="none" w:color="FFFFFF" w:sz="0"/>
            </w:tcBorders>
            <w:tcMar>
              <w:top w:type="dxa" w:w="80"/>
              <w:left w:type="dxa" w:w="80"/>
              <w:bottom w:type="dxa" w:w="80"/>
              <w:right w:type="dxa" w:w="0"/>
            </w:tcMar>
          </w:tcPr>
          <w:p>
            <w:pPr>
              <w:spacing w:after="120" w:before="0" w:line="300"/>
              <w:jc w:val="right"/>
            </w:pPr>
            <w:r>
              <w:rPr>
                <w:rFonts w:ascii="Arial" w:cs="Arial" w:eastAsia="Arial" w:hAnsi="Arial"/>
                <w:b/>
                <w:bCs/>
                <w:i w:val="false"/>
                <w:iCs w:val="false"/>
                <w:color w:val="2A2F3B"/>
                <w:sz w:val="22"/>
                <w:szCs w:val="22"/>
              </w:rPr>
              <w:t xml:space="preserve">«___» </w:t>
            </w:r>
            <w:r>
              <w:rPr>
                <w:rFonts w:ascii="Arial" w:cs="Arial" w:eastAsia="Arial" w:hAnsi="Arial"/>
                <w:b w:val="false"/>
                <w:bCs w:val="false"/>
                <w:i w:val="false"/>
                <w:iCs w:val="false"/>
                <w:color w:val="2A2F3B"/>
                <w:sz w:val="22"/>
                <w:szCs w:val="22"/>
              </w:rPr>
              <w:t xml:space="preserve">___________ 2026 г.</w:t>
            </w:r>
          </w:p>
        </w:tc>
      </w:tr>
    </w:tbl>
    <w:p>
      <w:pPr>
        <w:spacing w:after="120" w:before="0" w:line="300"/>
        <w:jc w:val="left"/>
      </w:pPr>
      <w:r>
        <w:rPr>
          <w:rFonts w:ascii="Arial" w:cs="Arial" w:eastAsia="Arial" w:hAnsi="Arial"/>
          <w:b w:val="false"/>
          <w:bCs w:val="false"/>
          <w:i w:val="false"/>
          <w:iCs w:val="false"/>
          <w:color w:val="2A2F3B"/>
          <w:sz w:val="22"/>
          <w:szCs w:val="22"/>
        </w:rPr>
        <w:t xml:space="preserve"/>
      </w:r>
    </w:p>
    <w:p>
      <w:pPr>
        <w:spacing w:after="70" w:before="20" w:line="300"/>
        <w:ind w:left="360" w:hanging="180"/>
      </w:pPr>
      <w:r>
        <w:rPr>
          <w:rFonts w:ascii="Arial" w:cs="Arial" w:eastAsia="Arial" w:hAnsi="Arial"/>
          <w:b/>
          <w:bCs/>
          <w:color w:val="C8A850"/>
          <w:sz w:val="22"/>
          <w:szCs w:val="22"/>
        </w:rPr>
        <w:t xml:space="preserve">-  </w:t>
      </w:r>
      <w:r>
        <w:rPr>
          <w:rFonts w:ascii="Arial" w:cs="Arial" w:eastAsia="Arial" w:hAnsi="Arial"/>
          <w:color w:val="333333"/>
          <w:sz w:val="22"/>
          <w:szCs w:val="22"/>
        </w:rPr>
        <w:t xml:space="preserve">Настоящий документ является публичной офертой (далее «Оферта») ИП Капустина Степана Александровича, ИНН 590419377214, ОГРНИП 324595800072592 (далее «Исполнитель»), адресованной любому физическому или юридическому лицу, которое примет настоящую Оферту (далее «Заказчик»), на заключение договора на условиях, изложенных ниже.</w:t>
      </w:r>
    </w:p>
    <w:p>
      <w:pPr>
        <w:pStyle w:val="Heading1"/>
        <w:pBdr>
          <w:bottom w:val="single" w:color="D6001C" w:sz="8" w:space="4"/>
        </w:pBdr>
        <w:spacing w:after="160" w:before="320" w:line="300"/>
      </w:pPr>
      <w:r>
        <w:rPr>
          <w:rFonts w:ascii="Arial" w:cs="Arial" w:eastAsia="Arial" w:hAnsi="Arial"/>
          <w:b/>
          <w:bCs/>
          <w:color w:val="2A2F3B"/>
          <w:sz w:val="26"/>
          <w:szCs w:val="26"/>
        </w:rPr>
        <w:t xml:space="preserve">1. ТЕРМИНЫ И ОПРЕДЕЛЕНИЯ</w:t>
      </w:r>
    </w:p>
    <w:p>
      <w:pPr>
        <w:spacing w:after="90" w:before="40" w:line="300"/>
      </w:pPr>
      <w:r>
        <w:rPr>
          <w:rFonts w:ascii="Arial" w:cs="Arial" w:eastAsia="Arial" w:hAnsi="Arial"/>
          <w:b/>
          <w:bCs/>
          <w:color w:val="2A2F3B"/>
          <w:sz w:val="22"/>
          <w:szCs w:val="22"/>
        </w:rPr>
        <w:t xml:space="preserve">1.1. </w:t>
      </w:r>
      <w:r>
        <w:rPr>
          <w:rFonts w:ascii="Arial" w:cs="Arial" w:eastAsia="Arial" w:hAnsi="Arial"/>
          <w:color w:val="333333"/>
          <w:sz w:val="22"/>
          <w:szCs w:val="22"/>
        </w:rPr>
        <w:t xml:space="preserve">Сайт, lot-click.ru и все его страницы, принадлежащие Исполнителю.</w:t>
      </w:r>
    </w:p>
    <w:p>
      <w:pPr>
        <w:spacing w:after="90" w:before="40" w:line="300"/>
      </w:pPr>
      <w:r>
        <w:rPr>
          <w:rFonts w:ascii="Arial" w:cs="Arial" w:eastAsia="Arial" w:hAnsi="Arial"/>
          <w:b/>
          <w:bCs/>
          <w:color w:val="2A2F3B"/>
          <w:sz w:val="22"/>
          <w:szCs w:val="22"/>
        </w:rPr>
        <w:t xml:space="preserve">1.2. </w:t>
      </w:r>
      <w:r>
        <w:rPr>
          <w:rFonts w:ascii="Arial" w:cs="Arial" w:eastAsia="Arial" w:hAnsi="Arial"/>
          <w:color w:val="333333"/>
          <w:sz w:val="22"/>
          <w:szCs w:val="22"/>
        </w:rPr>
        <w:t xml:space="preserve">Услуги, услуги по сопровождению участия в торгах по банкротству, проверке лотов, подбору лотов, консультированию, иные информационно-консультационные услуги Исполнителя, описание которых размещено на Сайте.</w:t>
      </w:r>
    </w:p>
    <w:p>
      <w:pPr>
        <w:spacing w:after="90" w:before="40" w:line="300"/>
      </w:pPr>
      <w:r>
        <w:rPr>
          <w:rFonts w:ascii="Arial" w:cs="Arial" w:eastAsia="Arial" w:hAnsi="Arial"/>
          <w:b/>
          <w:bCs/>
          <w:color w:val="2A2F3B"/>
          <w:sz w:val="22"/>
          <w:szCs w:val="22"/>
        </w:rPr>
        <w:t xml:space="preserve">1.3. </w:t>
      </w:r>
      <w:r>
        <w:rPr>
          <w:rFonts w:ascii="Arial" w:cs="Arial" w:eastAsia="Arial" w:hAnsi="Arial"/>
          <w:color w:val="333333"/>
          <w:sz w:val="22"/>
          <w:szCs w:val="22"/>
        </w:rPr>
        <w:t xml:space="preserve">Заказчик, физическое или юридическое лицо, осуществившее акцепт Оферты и ставшее Заказчиком услуг.</w:t>
      </w:r>
    </w:p>
    <w:p>
      <w:pPr>
        <w:spacing w:after="90" w:before="40" w:line="300"/>
      </w:pPr>
      <w:r>
        <w:rPr>
          <w:rFonts w:ascii="Arial" w:cs="Arial" w:eastAsia="Arial" w:hAnsi="Arial"/>
          <w:b/>
          <w:bCs/>
          <w:color w:val="2A2F3B"/>
          <w:sz w:val="22"/>
          <w:szCs w:val="22"/>
        </w:rPr>
        <w:t xml:space="preserve">1.4. </w:t>
      </w:r>
      <w:r>
        <w:rPr>
          <w:rFonts w:ascii="Arial" w:cs="Arial" w:eastAsia="Arial" w:hAnsi="Arial"/>
          <w:color w:val="333333"/>
          <w:sz w:val="22"/>
          <w:szCs w:val="22"/>
        </w:rPr>
        <w:t xml:space="preserve">Акцепт, согласие Заказчика заключить Договор на условиях Оферты. Акцепт осуществляется путём оплаты услуг или оформления заявки на Сайте с проставлением галочки «Согласен с условиями Оферты».</w:t>
      </w:r>
    </w:p>
    <w:p>
      <w:pPr>
        <w:pStyle w:val="Heading1"/>
        <w:pBdr>
          <w:bottom w:val="single" w:color="D6001C" w:sz="8" w:space="4"/>
        </w:pBdr>
        <w:spacing w:after="160" w:before="320" w:line="300"/>
      </w:pPr>
      <w:r>
        <w:rPr>
          <w:rFonts w:ascii="Arial" w:cs="Arial" w:eastAsia="Arial" w:hAnsi="Arial"/>
          <w:b/>
          <w:bCs/>
          <w:color w:val="2A2F3B"/>
          <w:sz w:val="26"/>
          <w:szCs w:val="26"/>
        </w:rPr>
        <w:t xml:space="preserve">2. ПРЕДМЕТ ДОГОВОРА</w:t>
      </w:r>
    </w:p>
    <w:p>
      <w:pPr>
        <w:spacing w:after="90" w:before="40" w:line="300"/>
      </w:pPr>
      <w:r>
        <w:rPr>
          <w:rFonts w:ascii="Arial" w:cs="Arial" w:eastAsia="Arial" w:hAnsi="Arial"/>
          <w:b/>
          <w:bCs/>
          <w:color w:val="2A2F3B"/>
          <w:sz w:val="22"/>
          <w:szCs w:val="22"/>
        </w:rPr>
        <w:t xml:space="preserve">2.1. </w:t>
      </w:r>
      <w:r>
        <w:rPr>
          <w:rFonts w:ascii="Arial" w:cs="Arial" w:eastAsia="Arial" w:hAnsi="Arial"/>
          <w:color w:val="333333"/>
          <w:sz w:val="22"/>
          <w:szCs w:val="22"/>
        </w:rPr>
        <w:t xml:space="preserve">Исполнитель обязуется оказать Заказчику Услуги, выбранные Заказчиком на Сайте, а Заказчик обязуется принять и оплатить Услуги.</w:t>
      </w:r>
    </w:p>
    <w:p>
      <w:pPr>
        <w:spacing w:after="90" w:before="40" w:line="300"/>
      </w:pPr>
      <w:r>
        <w:rPr>
          <w:rFonts w:ascii="Arial" w:cs="Arial" w:eastAsia="Arial" w:hAnsi="Arial"/>
          <w:b/>
          <w:bCs/>
          <w:color w:val="2A2F3B"/>
          <w:sz w:val="22"/>
          <w:szCs w:val="22"/>
        </w:rPr>
        <w:t xml:space="preserve">2.2. </w:t>
      </w:r>
      <w:r>
        <w:rPr>
          <w:rFonts w:ascii="Arial" w:cs="Arial" w:eastAsia="Arial" w:hAnsi="Arial"/>
          <w:color w:val="333333"/>
          <w:sz w:val="22"/>
          <w:szCs w:val="22"/>
        </w:rPr>
        <w:t xml:space="preserve">Конкретный перечень, объём, стоимость и сроки Услуг определяются в заявке Заказчика, сформированной на Сайте, либо в индивидуальном договоре, заключаемом с Заказчиком.</w:t>
      </w:r>
    </w:p>
    <w:p>
      <w:pPr>
        <w:spacing w:after="90" w:before="40" w:line="300"/>
      </w:pPr>
      <w:r>
        <w:rPr>
          <w:rFonts w:ascii="Arial" w:cs="Arial" w:eastAsia="Arial" w:hAnsi="Arial"/>
          <w:b/>
          <w:bCs/>
          <w:color w:val="2A2F3B"/>
          <w:sz w:val="22"/>
          <w:szCs w:val="22"/>
        </w:rPr>
        <w:t xml:space="preserve">2.3. </w:t>
      </w:r>
      <w:r>
        <w:rPr>
          <w:rFonts w:ascii="Arial" w:cs="Arial" w:eastAsia="Arial" w:hAnsi="Arial"/>
          <w:color w:val="333333"/>
          <w:sz w:val="22"/>
          <w:szCs w:val="22"/>
        </w:rPr>
        <w:t xml:space="preserve">В соответствии со ст. 435-438 ГК РФ Оферта является предложением заключить Договор. Договор считается заключённым с момента Акцепта (оплата услуг или оформление заявки).</w:t>
      </w:r>
    </w:p>
    <w:p>
      <w:pPr>
        <w:pStyle w:val="Heading1"/>
        <w:pBdr>
          <w:bottom w:val="single" w:color="D6001C" w:sz="8" w:space="4"/>
        </w:pBdr>
        <w:spacing w:after="160" w:before="320" w:line="300"/>
      </w:pPr>
      <w:r>
        <w:rPr>
          <w:rFonts w:ascii="Arial" w:cs="Arial" w:eastAsia="Arial" w:hAnsi="Arial"/>
          <w:b/>
          <w:bCs/>
          <w:color w:val="2A2F3B"/>
          <w:sz w:val="26"/>
          <w:szCs w:val="26"/>
        </w:rPr>
        <w:t xml:space="preserve">3. ПОРЯДОК ОКАЗАНИЯ УСЛУГ</w:t>
      </w:r>
    </w:p>
    <w:p>
      <w:pPr>
        <w:spacing w:after="90" w:before="40" w:line="300"/>
      </w:pPr>
      <w:r>
        <w:rPr>
          <w:rFonts w:ascii="Arial" w:cs="Arial" w:eastAsia="Arial" w:hAnsi="Arial"/>
          <w:b/>
          <w:bCs/>
          <w:color w:val="2A2F3B"/>
          <w:sz w:val="22"/>
          <w:szCs w:val="22"/>
        </w:rPr>
        <w:t xml:space="preserve">3.1. </w:t>
      </w:r>
      <w:r>
        <w:rPr>
          <w:rFonts w:ascii="Arial" w:cs="Arial" w:eastAsia="Arial" w:hAnsi="Arial"/>
          <w:color w:val="333333"/>
          <w:sz w:val="22"/>
          <w:szCs w:val="22"/>
        </w:rPr>
        <w:t xml:space="preserve">Заказчик оформляет заявку на Сайте, выбирая интересующие Услуги из каталога.</w:t>
      </w:r>
    </w:p>
    <w:p>
      <w:pPr>
        <w:spacing w:after="90" w:before="40" w:line="300"/>
      </w:pPr>
      <w:r>
        <w:rPr>
          <w:rFonts w:ascii="Arial" w:cs="Arial" w:eastAsia="Arial" w:hAnsi="Arial"/>
          <w:b/>
          <w:bCs/>
          <w:color w:val="2A2F3B"/>
          <w:sz w:val="22"/>
          <w:szCs w:val="22"/>
        </w:rPr>
        <w:t xml:space="preserve">3.2. </w:t>
      </w:r>
      <w:r>
        <w:rPr>
          <w:rFonts w:ascii="Arial" w:cs="Arial" w:eastAsia="Arial" w:hAnsi="Arial"/>
          <w:color w:val="333333"/>
          <w:sz w:val="22"/>
          <w:szCs w:val="22"/>
        </w:rPr>
        <w:t xml:space="preserve">Исполнитель подтверждает возможность оказания Услуг в течение 1 рабочего дня с момента получения заявки путём направления Заказчику уведомления на указанный email либо в мессенджер.</w:t>
      </w:r>
    </w:p>
    <w:p>
      <w:pPr>
        <w:spacing w:after="90" w:before="40" w:line="300"/>
      </w:pPr>
      <w:r>
        <w:rPr>
          <w:rFonts w:ascii="Arial" w:cs="Arial" w:eastAsia="Arial" w:hAnsi="Arial"/>
          <w:b/>
          <w:bCs/>
          <w:color w:val="2A2F3B"/>
          <w:sz w:val="22"/>
          <w:szCs w:val="22"/>
        </w:rPr>
        <w:t xml:space="preserve">3.3. </w:t>
      </w:r>
      <w:r>
        <w:rPr>
          <w:rFonts w:ascii="Arial" w:cs="Arial" w:eastAsia="Arial" w:hAnsi="Arial"/>
          <w:color w:val="333333"/>
          <w:sz w:val="22"/>
          <w:szCs w:val="22"/>
        </w:rPr>
        <w:t xml:space="preserve">Заказчик оплачивает Услуги в размере и порядке, указанных в заявке. Оплата означает акцепт Оферты.</w:t>
      </w:r>
    </w:p>
    <w:p>
      <w:pPr>
        <w:spacing w:after="90" w:before="40" w:line="300"/>
      </w:pPr>
      <w:r>
        <w:rPr>
          <w:rFonts w:ascii="Arial" w:cs="Arial" w:eastAsia="Arial" w:hAnsi="Arial"/>
          <w:b/>
          <w:bCs/>
          <w:color w:val="2A2F3B"/>
          <w:sz w:val="22"/>
          <w:szCs w:val="22"/>
        </w:rPr>
        <w:t xml:space="preserve">3.4. </w:t>
      </w:r>
      <w:r>
        <w:rPr>
          <w:rFonts w:ascii="Arial" w:cs="Arial" w:eastAsia="Arial" w:hAnsi="Arial"/>
          <w:color w:val="333333"/>
          <w:sz w:val="22"/>
          <w:szCs w:val="22"/>
        </w:rPr>
        <w:t xml:space="preserve">Услуги оказываются в сроки, указанные в заявке или индивидуальном договоре. Общий срок не превышает 30 рабочих дней, если иное не установлено для конкретной услуги.</w:t>
      </w:r>
    </w:p>
    <w:p>
      <w:pPr>
        <w:pStyle w:val="Heading1"/>
        <w:pBdr>
          <w:bottom w:val="single" w:color="D6001C" w:sz="8" w:space="4"/>
        </w:pBdr>
        <w:spacing w:after="160" w:before="320" w:line="300"/>
      </w:pPr>
      <w:r>
        <w:rPr>
          <w:rFonts w:ascii="Arial" w:cs="Arial" w:eastAsia="Arial" w:hAnsi="Arial"/>
          <w:b/>
          <w:bCs/>
          <w:color w:val="2A2F3B"/>
          <w:sz w:val="26"/>
          <w:szCs w:val="26"/>
        </w:rPr>
        <w:t xml:space="preserve">4. СТОИМОСТЬ УСЛУГ</w:t>
      </w:r>
    </w:p>
    <w:p>
      <w:pPr>
        <w:spacing w:after="90" w:before="40" w:line="300"/>
      </w:pPr>
      <w:r>
        <w:rPr>
          <w:rFonts w:ascii="Arial" w:cs="Arial" w:eastAsia="Arial" w:hAnsi="Arial"/>
          <w:b/>
          <w:bCs/>
          <w:color w:val="2A2F3B"/>
          <w:sz w:val="22"/>
          <w:szCs w:val="22"/>
        </w:rPr>
        <w:t xml:space="preserve">4.1. </w:t>
      </w:r>
      <w:r>
        <w:rPr>
          <w:rFonts w:ascii="Arial" w:cs="Arial" w:eastAsia="Arial" w:hAnsi="Arial"/>
          <w:color w:val="333333"/>
          <w:sz w:val="22"/>
          <w:szCs w:val="22"/>
        </w:rPr>
        <w:t xml:space="preserve">Актуальная стоимость Услуг размещается на Сайте. Исполнитель вправе в одностороннем порядке изменять стоимость. Изменения не распространяются на услуги, по которым уже состоялся Акцепт.</w:t>
      </w:r>
    </w:p>
    <w:p>
      <w:pPr>
        <w:spacing w:after="90" w:before="40" w:line="300"/>
      </w:pPr>
      <w:r>
        <w:rPr>
          <w:rFonts w:ascii="Arial" w:cs="Arial" w:eastAsia="Arial" w:hAnsi="Arial"/>
          <w:b/>
          <w:bCs/>
          <w:color w:val="2A2F3B"/>
          <w:sz w:val="22"/>
          <w:szCs w:val="22"/>
        </w:rPr>
        <w:t xml:space="preserve">4.2. </w:t>
      </w:r>
      <w:r>
        <w:rPr>
          <w:rFonts w:ascii="Arial" w:cs="Arial" w:eastAsia="Arial" w:hAnsi="Arial"/>
          <w:color w:val="333333"/>
          <w:sz w:val="22"/>
          <w:szCs w:val="22"/>
        </w:rPr>
        <w:t xml:space="preserve">Оплата производится безналичным перечислением на расчётный счёт Исполнителя, через систему быстрых платежей, банковской картой через платёжную систему на Сайте.</w:t>
      </w:r>
    </w:p>
    <w:p>
      <w:pPr>
        <w:spacing w:after="90" w:before="40" w:line="300"/>
      </w:pPr>
      <w:r>
        <w:rPr>
          <w:rFonts w:ascii="Arial" w:cs="Arial" w:eastAsia="Arial" w:hAnsi="Arial"/>
          <w:b/>
          <w:bCs/>
          <w:color w:val="2A2F3B"/>
          <w:sz w:val="22"/>
          <w:szCs w:val="22"/>
        </w:rPr>
        <w:t xml:space="preserve">4.3. </w:t>
      </w:r>
      <w:r>
        <w:rPr>
          <w:rFonts w:ascii="Arial" w:cs="Arial" w:eastAsia="Arial" w:hAnsi="Arial"/>
          <w:color w:val="333333"/>
          <w:sz w:val="22"/>
          <w:szCs w:val="22"/>
        </w:rPr>
        <w:t xml:space="preserve">При оплате банковской картой через платёжные системы Исполнитель не получает и не хранит данные карты. Безопасность платежа обеспечивает платёжная система.</w:t>
      </w:r>
    </w:p>
    <w:p>
      <w:pPr>
        <w:pStyle w:val="Heading1"/>
        <w:pBdr>
          <w:bottom w:val="single" w:color="D6001C" w:sz="8" w:space="4"/>
        </w:pBdr>
        <w:spacing w:after="160" w:before="320" w:line="300"/>
      </w:pPr>
      <w:r>
        <w:rPr>
          <w:rFonts w:ascii="Arial" w:cs="Arial" w:eastAsia="Arial" w:hAnsi="Arial"/>
          <w:b/>
          <w:bCs/>
          <w:color w:val="2A2F3B"/>
          <w:sz w:val="26"/>
          <w:szCs w:val="26"/>
        </w:rPr>
        <w:t xml:space="preserve">5. ПРАВА ПОТРЕБИТЕЛЯ</w:t>
      </w:r>
    </w:p>
    <w:p>
      <w:pPr>
        <w:spacing w:after="90" w:before="40" w:line="300"/>
      </w:pPr>
      <w:r>
        <w:rPr>
          <w:rFonts w:ascii="Arial" w:cs="Arial" w:eastAsia="Arial" w:hAnsi="Arial"/>
          <w:b/>
          <w:bCs/>
          <w:color w:val="2A2F3B"/>
          <w:sz w:val="22"/>
          <w:szCs w:val="22"/>
        </w:rPr>
        <w:t xml:space="preserve">5.1. </w:t>
      </w:r>
      <w:r>
        <w:rPr>
          <w:rFonts w:ascii="Arial" w:cs="Arial" w:eastAsia="Arial" w:hAnsi="Arial"/>
          <w:color w:val="333333"/>
          <w:sz w:val="22"/>
          <w:szCs w:val="22"/>
        </w:rPr>
        <w:t xml:space="preserve">При оказании услуг физическим лицам для целей, не связанных с предпринимательской деятельностью, применяются нормы Закона РФ «О защите прав потребителей».</w:t>
      </w:r>
    </w:p>
    <w:p>
      <w:pPr>
        <w:spacing w:after="90" w:before="40" w:line="300"/>
      </w:pPr>
      <w:r>
        <w:rPr>
          <w:rFonts w:ascii="Arial" w:cs="Arial" w:eastAsia="Arial" w:hAnsi="Arial"/>
          <w:b/>
          <w:bCs/>
          <w:color w:val="2A2F3B"/>
          <w:sz w:val="22"/>
          <w:szCs w:val="22"/>
        </w:rPr>
        <w:t xml:space="preserve">5.2. </w:t>
      </w:r>
      <w:r>
        <w:rPr>
          <w:rFonts w:ascii="Arial" w:cs="Arial" w:eastAsia="Arial" w:hAnsi="Arial"/>
          <w:color w:val="333333"/>
          <w:sz w:val="22"/>
          <w:szCs w:val="22"/>
        </w:rPr>
        <w:t xml:space="preserve">Заказчик вправе отказаться от Договора в любое время при условии оплаты Исполнителю фактически понесённых расходов (ст. 32 ЗоЗПП, ст. 782 ГК РФ).</w:t>
      </w:r>
    </w:p>
    <w:p>
      <w:pPr>
        <w:spacing w:after="90" w:before="40" w:line="300"/>
      </w:pPr>
      <w:r>
        <w:rPr>
          <w:rFonts w:ascii="Arial" w:cs="Arial" w:eastAsia="Arial" w:hAnsi="Arial"/>
          <w:b/>
          <w:bCs/>
          <w:color w:val="2A2F3B"/>
          <w:sz w:val="22"/>
          <w:szCs w:val="22"/>
        </w:rPr>
        <w:t xml:space="preserve">5.3. </w:t>
      </w:r>
      <w:r>
        <w:rPr>
          <w:rFonts w:ascii="Arial" w:cs="Arial" w:eastAsia="Arial" w:hAnsi="Arial"/>
          <w:color w:val="333333"/>
          <w:sz w:val="22"/>
          <w:szCs w:val="22"/>
        </w:rPr>
        <w:t xml:space="preserve">При обнаружении недостатков Услуг Заказчик вправе по своему выбору потребовать (ст. 29 ЗоЗПП): безвозмездного устранения недостатков; соразмерного уменьшения цены; возмещения понесённых расходов на устранение; повторного безвозмездного оказания услуги; расторжения Договора с возвратом уплаченной суммы.</w:t>
      </w:r>
    </w:p>
    <w:p>
      <w:pPr>
        <w:spacing w:after="90" w:before="40" w:line="300"/>
      </w:pPr>
      <w:r>
        <w:rPr>
          <w:rFonts w:ascii="Arial" w:cs="Arial" w:eastAsia="Arial" w:hAnsi="Arial"/>
          <w:b/>
          <w:bCs/>
          <w:color w:val="2A2F3B"/>
          <w:sz w:val="22"/>
          <w:szCs w:val="22"/>
        </w:rPr>
        <w:t xml:space="preserve">5.4. </w:t>
      </w:r>
      <w:r>
        <w:rPr>
          <w:rFonts w:ascii="Arial" w:cs="Arial" w:eastAsia="Arial" w:hAnsi="Arial"/>
          <w:color w:val="333333"/>
          <w:sz w:val="22"/>
          <w:szCs w:val="22"/>
        </w:rPr>
        <w:t xml:space="preserve">Требования Заказчика рассматриваются в срок 10 дней с момента их получения.</w:t>
      </w:r>
    </w:p>
    <w:p>
      <w:pPr>
        <w:pStyle w:val="Heading1"/>
        <w:pBdr>
          <w:bottom w:val="single" w:color="D6001C" w:sz="8" w:space="4"/>
        </w:pBdr>
        <w:spacing w:after="160" w:before="320" w:line="300"/>
      </w:pPr>
      <w:r>
        <w:rPr>
          <w:rFonts w:ascii="Arial" w:cs="Arial" w:eastAsia="Arial" w:hAnsi="Arial"/>
          <w:b/>
          <w:bCs/>
          <w:color w:val="2A2F3B"/>
          <w:sz w:val="26"/>
          <w:szCs w:val="26"/>
        </w:rPr>
        <w:t xml:space="preserve">6. ОТВЕТСТВЕННОСТЬ</w:t>
      </w:r>
    </w:p>
    <w:p>
      <w:pPr>
        <w:spacing w:after="90" w:before="40" w:line="300"/>
      </w:pPr>
      <w:r>
        <w:rPr>
          <w:rFonts w:ascii="Arial" w:cs="Arial" w:eastAsia="Arial" w:hAnsi="Arial"/>
          <w:b/>
          <w:bCs/>
          <w:color w:val="2A2F3B"/>
          <w:sz w:val="22"/>
          <w:szCs w:val="22"/>
        </w:rPr>
        <w:t xml:space="preserve">6.1. </w:t>
      </w:r>
      <w:r>
        <w:rPr>
          <w:rFonts w:ascii="Arial" w:cs="Arial" w:eastAsia="Arial" w:hAnsi="Arial"/>
          <w:color w:val="333333"/>
          <w:sz w:val="22"/>
          <w:szCs w:val="22"/>
        </w:rPr>
        <w:t xml:space="preserve">Стороны несут ответственность в соответствии с действующим законодательством РФ.</w:t>
      </w:r>
    </w:p>
    <w:p>
      <w:pPr>
        <w:spacing w:after="90" w:before="40" w:line="300"/>
      </w:pPr>
      <w:r>
        <w:rPr>
          <w:rFonts w:ascii="Arial" w:cs="Arial" w:eastAsia="Arial" w:hAnsi="Arial"/>
          <w:b/>
          <w:bCs/>
          <w:color w:val="2A2F3B"/>
          <w:sz w:val="22"/>
          <w:szCs w:val="22"/>
        </w:rPr>
        <w:t xml:space="preserve">6.2. </w:t>
      </w:r>
      <w:r>
        <w:rPr>
          <w:rFonts w:ascii="Arial" w:cs="Arial" w:eastAsia="Arial" w:hAnsi="Arial"/>
          <w:color w:val="333333"/>
          <w:sz w:val="22"/>
          <w:szCs w:val="22"/>
        </w:rPr>
        <w:t xml:space="preserve">Исполнитель не несёт ответственности за: невозможность исполнения Договора по причинам, связанным с действиями Заказчика; изменения законодательства и практики применения, произошедшие после оказания услуги; коммерческие решения Заказчика, принятые на основе консультаций.</w:t>
      </w:r>
    </w:p>
    <w:p>
      <w:pPr>
        <w:spacing w:after="90" w:before="40" w:line="300"/>
      </w:pPr>
      <w:r>
        <w:rPr>
          <w:rFonts w:ascii="Arial" w:cs="Arial" w:eastAsia="Arial" w:hAnsi="Arial"/>
          <w:b/>
          <w:bCs/>
          <w:color w:val="2A2F3B"/>
          <w:sz w:val="22"/>
          <w:szCs w:val="22"/>
        </w:rPr>
        <w:t xml:space="preserve">6.3. </w:t>
      </w:r>
      <w:r>
        <w:rPr>
          <w:rFonts w:ascii="Arial" w:cs="Arial" w:eastAsia="Arial" w:hAnsi="Arial"/>
          <w:color w:val="333333"/>
          <w:sz w:val="22"/>
          <w:szCs w:val="22"/>
        </w:rPr>
        <w:t xml:space="preserve">Совокупная ответственность Исполнителя ограничена двукратной стоимостью услуги.</w:t>
      </w:r>
    </w:p>
    <w:p>
      <w:pPr>
        <w:pStyle w:val="Heading1"/>
        <w:pBdr>
          <w:bottom w:val="single" w:color="D6001C" w:sz="8" w:space="4"/>
        </w:pBdr>
        <w:spacing w:after="160" w:before="320" w:line="300"/>
      </w:pPr>
      <w:r>
        <w:rPr>
          <w:rFonts w:ascii="Arial" w:cs="Arial" w:eastAsia="Arial" w:hAnsi="Arial"/>
          <w:b/>
          <w:bCs/>
          <w:color w:val="2A2F3B"/>
          <w:sz w:val="26"/>
          <w:szCs w:val="26"/>
        </w:rPr>
        <w:t xml:space="preserve">7. ПЕРСОНАЛЬНЫЕ ДАННЫЕ</w:t>
      </w:r>
    </w:p>
    <w:p>
      <w:pPr>
        <w:spacing w:after="90" w:before="40" w:line="300"/>
      </w:pPr>
      <w:r>
        <w:rPr>
          <w:rFonts w:ascii="Arial" w:cs="Arial" w:eastAsia="Arial" w:hAnsi="Arial"/>
          <w:b/>
          <w:bCs/>
          <w:color w:val="2A2F3B"/>
          <w:sz w:val="22"/>
          <w:szCs w:val="22"/>
        </w:rPr>
        <w:t xml:space="preserve">7.1. </w:t>
      </w:r>
      <w:r>
        <w:rPr>
          <w:rFonts w:ascii="Arial" w:cs="Arial" w:eastAsia="Arial" w:hAnsi="Arial"/>
          <w:color w:val="333333"/>
          <w:sz w:val="22"/>
          <w:szCs w:val="22"/>
        </w:rPr>
        <w:t xml:space="preserve">Заказчик при оформлении заявки даёт согласие на обработку персональных данных в соответствии с отдельным документом «Согласие на обработку персональных данных», размещённым на Сайте.</w:t>
      </w:r>
    </w:p>
    <w:p>
      <w:pPr>
        <w:spacing w:after="90" w:before="40" w:line="300"/>
      </w:pPr>
      <w:r>
        <w:rPr>
          <w:rFonts w:ascii="Arial" w:cs="Arial" w:eastAsia="Arial" w:hAnsi="Arial"/>
          <w:b/>
          <w:bCs/>
          <w:color w:val="2A2F3B"/>
          <w:sz w:val="22"/>
          <w:szCs w:val="22"/>
        </w:rPr>
        <w:t xml:space="preserve">7.2. </w:t>
      </w:r>
      <w:r>
        <w:rPr>
          <w:rFonts w:ascii="Arial" w:cs="Arial" w:eastAsia="Arial" w:hAnsi="Arial"/>
          <w:color w:val="333333"/>
          <w:sz w:val="22"/>
          <w:szCs w:val="22"/>
        </w:rPr>
        <w:t xml:space="preserve">Цели обработки: исполнение Договора, связь с Заказчиком, рассылка информации об услугах (при отдельном согласии).</w:t>
      </w:r>
    </w:p>
    <w:p>
      <w:pPr>
        <w:spacing w:after="90" w:before="40" w:line="300"/>
      </w:pPr>
      <w:r>
        <w:rPr>
          <w:rFonts w:ascii="Arial" w:cs="Arial" w:eastAsia="Arial" w:hAnsi="Arial"/>
          <w:b/>
          <w:bCs/>
          <w:color w:val="2A2F3B"/>
          <w:sz w:val="22"/>
          <w:szCs w:val="22"/>
        </w:rPr>
        <w:t xml:space="preserve">7.3. </w:t>
      </w:r>
      <w:r>
        <w:rPr>
          <w:rFonts w:ascii="Arial" w:cs="Arial" w:eastAsia="Arial" w:hAnsi="Arial"/>
          <w:color w:val="333333"/>
          <w:sz w:val="22"/>
          <w:szCs w:val="22"/>
        </w:rPr>
        <w:t xml:space="preserve">Политика обработки персональных данных размещена по адресу: lot-click.ru/privacy.</w:t>
      </w:r>
    </w:p>
    <w:p>
      <w:pPr>
        <w:pStyle w:val="Heading1"/>
        <w:pBdr>
          <w:bottom w:val="single" w:color="D6001C" w:sz="8" w:space="4"/>
        </w:pBdr>
        <w:spacing w:after="160" w:before="320" w:line="300"/>
      </w:pPr>
      <w:r>
        <w:rPr>
          <w:rFonts w:ascii="Arial" w:cs="Arial" w:eastAsia="Arial" w:hAnsi="Arial"/>
          <w:b/>
          <w:bCs/>
          <w:color w:val="2A2F3B"/>
          <w:sz w:val="26"/>
          <w:szCs w:val="26"/>
        </w:rPr>
        <w:t xml:space="preserve">8. ИНТЕЛЛЕКТУАЛЬНАЯ СОБСТВЕННОСТЬ</w:t>
      </w:r>
    </w:p>
    <w:p>
      <w:pPr>
        <w:spacing w:after="90" w:before="40" w:line="300"/>
      </w:pPr>
      <w:r>
        <w:rPr>
          <w:rFonts w:ascii="Arial" w:cs="Arial" w:eastAsia="Arial" w:hAnsi="Arial"/>
          <w:b/>
          <w:bCs/>
          <w:color w:val="2A2F3B"/>
          <w:sz w:val="22"/>
          <w:szCs w:val="22"/>
        </w:rPr>
        <w:t xml:space="preserve">8.1. </w:t>
      </w:r>
      <w:r>
        <w:rPr>
          <w:rFonts w:ascii="Arial" w:cs="Arial" w:eastAsia="Arial" w:hAnsi="Arial"/>
          <w:color w:val="333333"/>
          <w:sz w:val="22"/>
          <w:szCs w:val="22"/>
        </w:rPr>
        <w:t xml:space="preserve">Все материалы Сайта, включая тексты, графику, видео, логотипы, макеты документов, являются объектами авторского права и принадлежат Исполнителю.</w:t>
      </w:r>
    </w:p>
    <w:p>
      <w:pPr>
        <w:spacing w:after="90" w:before="40" w:line="300"/>
      </w:pPr>
      <w:r>
        <w:rPr>
          <w:rFonts w:ascii="Arial" w:cs="Arial" w:eastAsia="Arial" w:hAnsi="Arial"/>
          <w:b/>
          <w:bCs/>
          <w:color w:val="2A2F3B"/>
          <w:sz w:val="22"/>
          <w:szCs w:val="22"/>
        </w:rPr>
        <w:t xml:space="preserve">8.2. </w:t>
      </w:r>
      <w:r>
        <w:rPr>
          <w:rFonts w:ascii="Arial" w:cs="Arial" w:eastAsia="Arial" w:hAnsi="Arial"/>
          <w:color w:val="333333"/>
          <w:sz w:val="22"/>
          <w:szCs w:val="22"/>
        </w:rPr>
        <w:t xml:space="preserve">Копирование, воспроизведение, распространение материалов Сайта без письменного согласия Исполнителя запрещено и влечёт ответственность по ст. 1301 ГК РФ.</w:t>
      </w:r>
    </w:p>
    <w:p>
      <w:pPr>
        <w:pStyle w:val="Heading1"/>
        <w:pBdr>
          <w:bottom w:val="single" w:color="D6001C" w:sz="8" w:space="4"/>
        </w:pBdr>
        <w:spacing w:after="160" w:before="320" w:line="300"/>
      </w:pPr>
      <w:r>
        <w:rPr>
          <w:rFonts w:ascii="Arial" w:cs="Arial" w:eastAsia="Arial" w:hAnsi="Arial"/>
          <w:b/>
          <w:bCs/>
          <w:color w:val="2A2F3B"/>
          <w:sz w:val="26"/>
          <w:szCs w:val="26"/>
        </w:rPr>
        <w:t xml:space="preserve">9. ИЗМЕНЕНИЕ И РАСТОРЖЕНИЕ</w:t>
      </w:r>
    </w:p>
    <w:p>
      <w:pPr>
        <w:spacing w:after="90" w:before="40" w:line="300"/>
      </w:pPr>
      <w:r>
        <w:rPr>
          <w:rFonts w:ascii="Arial" w:cs="Arial" w:eastAsia="Arial" w:hAnsi="Arial"/>
          <w:b/>
          <w:bCs/>
          <w:color w:val="2A2F3B"/>
          <w:sz w:val="22"/>
          <w:szCs w:val="22"/>
        </w:rPr>
        <w:t xml:space="preserve">9.1. </w:t>
      </w:r>
      <w:r>
        <w:rPr>
          <w:rFonts w:ascii="Arial" w:cs="Arial" w:eastAsia="Arial" w:hAnsi="Arial"/>
          <w:color w:val="333333"/>
          <w:sz w:val="22"/>
          <w:szCs w:val="22"/>
        </w:rPr>
        <w:t xml:space="preserve">Исполнитель вправе изменять условия Оферты путём публикации новой редакции на Сайте. Изменения вступают в силу с момента публикации, но не распространяются на договоры, заключённые до публикации.</w:t>
      </w:r>
    </w:p>
    <w:p>
      <w:pPr>
        <w:spacing w:after="90" w:before="40" w:line="300"/>
      </w:pPr>
      <w:r>
        <w:rPr>
          <w:rFonts w:ascii="Arial" w:cs="Arial" w:eastAsia="Arial" w:hAnsi="Arial"/>
          <w:b/>
          <w:bCs/>
          <w:color w:val="2A2F3B"/>
          <w:sz w:val="22"/>
          <w:szCs w:val="22"/>
        </w:rPr>
        <w:t xml:space="preserve">9.2. </w:t>
      </w:r>
      <w:r>
        <w:rPr>
          <w:rFonts w:ascii="Arial" w:cs="Arial" w:eastAsia="Arial" w:hAnsi="Arial"/>
          <w:color w:val="333333"/>
          <w:sz w:val="22"/>
          <w:szCs w:val="22"/>
        </w:rPr>
        <w:t xml:space="preserve">Договор может быть расторгнут в одностороннем порядке Заказчиком с возмещением Исполнителю фактически понесённых расходов, либо Исполнителем при нарушении Заказчиком условий оплаты.</w:t>
      </w:r>
    </w:p>
    <w:p>
      <w:pPr>
        <w:pStyle w:val="Heading1"/>
        <w:pBdr>
          <w:bottom w:val="single" w:color="D6001C" w:sz="8" w:space="4"/>
        </w:pBdr>
        <w:spacing w:after="160" w:before="320" w:line="300"/>
      </w:pPr>
      <w:r>
        <w:rPr>
          <w:rFonts w:ascii="Arial" w:cs="Arial" w:eastAsia="Arial" w:hAnsi="Arial"/>
          <w:b/>
          <w:bCs/>
          <w:color w:val="2A2F3B"/>
          <w:sz w:val="26"/>
          <w:szCs w:val="26"/>
        </w:rPr>
        <w:t xml:space="preserve">ОБСТОЯТЕЛЬСТВА НЕПРЕОДОЛИМОЙ СИЛЫ</w:t>
      </w:r>
    </w:p>
    <w:p>
      <w:pPr>
        <w:spacing w:after="90" w:before="40" w:line="300"/>
      </w:pPr>
      <w:r>
        <w:rPr>
          <w:rFonts w:ascii="Arial" w:cs="Arial" w:eastAsia="Arial" w:hAnsi="Arial"/>
          <w:b/>
          <w:bCs/>
          <w:color w:val="2A2F3B"/>
          <w:sz w:val="22"/>
          <w:szCs w:val="22"/>
        </w:rPr>
        <w:t xml:space="preserve">Ф.1. </w:t>
      </w:r>
      <w:r>
        <w:rPr>
          <w:rFonts w:ascii="Arial" w:cs="Arial" w:eastAsia="Arial" w:hAnsi="Arial"/>
          <w:color w:val="333333"/>
          <w:sz w:val="22"/>
          <w:szCs w:val="22"/>
        </w:rPr>
        <w:t xml:space="preserve">Стороны освобождаются от ответственности за полное или частичное неисполнение обязательств, если оно явилось следствием обстоятельств непреодолимой силы, возникших после заключения Договора, которые Стороны не могли предвидеть и предотвратить разумными мерами (ст. 401 ГК РФ). К таким обстоятельствам относятся: стихийные бедствия, эпидемии с введением ограничений, военные действия, террористические акты, акты органов государственной власти о приостановлении работы ЭТП, банков или регистрирующих органов.</w:t>
      </w:r>
    </w:p>
    <w:p>
      <w:pPr>
        <w:spacing w:after="90" w:before="40" w:line="300"/>
      </w:pPr>
      <w:r>
        <w:rPr>
          <w:rFonts w:ascii="Arial" w:cs="Arial" w:eastAsia="Arial" w:hAnsi="Arial"/>
          <w:b/>
          <w:bCs/>
          <w:color w:val="2A2F3B"/>
          <w:sz w:val="22"/>
          <w:szCs w:val="22"/>
        </w:rPr>
        <w:t xml:space="preserve">Ф.2. </w:t>
      </w:r>
      <w:r>
        <w:rPr>
          <w:rFonts w:ascii="Arial" w:cs="Arial" w:eastAsia="Arial" w:hAnsi="Arial"/>
          <w:color w:val="333333"/>
          <w:sz w:val="22"/>
          <w:szCs w:val="22"/>
        </w:rPr>
        <w:t xml:space="preserve">Сторона, для которой стало невозможным исполнение обязательств вследствие форс-мажора, уведомляет другую Сторону в течение 72 часов с момента возникновения обстоятельств. Факт подтверждается документами Торгово-промышленной палаты РФ, МЧС России либо вступившими в силу актами органов государственной власти.</w:t>
      </w:r>
    </w:p>
    <w:p>
      <w:pPr>
        <w:spacing w:after="90" w:before="40" w:line="300"/>
      </w:pPr>
      <w:r>
        <w:rPr>
          <w:rFonts w:ascii="Arial" w:cs="Arial" w:eastAsia="Arial" w:hAnsi="Arial"/>
          <w:b/>
          <w:bCs/>
          <w:color w:val="2A2F3B"/>
          <w:sz w:val="22"/>
          <w:szCs w:val="22"/>
        </w:rPr>
        <w:t xml:space="preserve">Ф.3. </w:t>
      </w:r>
      <w:r>
        <w:rPr>
          <w:rFonts w:ascii="Arial" w:cs="Arial" w:eastAsia="Arial" w:hAnsi="Arial"/>
          <w:color w:val="333333"/>
          <w:sz w:val="22"/>
          <w:szCs w:val="22"/>
        </w:rPr>
        <w:t xml:space="preserve">Если форс-мажор длится более 30 календарных дней, любая из Сторон вправе в одностороннем внесудебном порядке отказаться от Договора. Суммы за фактически оказанные услуги и понесённые расходы возврату не подлежат.</w:t>
      </w:r>
    </w:p>
    <w:p>
      <w:pPr>
        <w:spacing w:after="90" w:before="40" w:line="300"/>
      </w:pPr>
      <w:r>
        <w:rPr>
          <w:rFonts w:ascii="Arial" w:cs="Arial" w:eastAsia="Arial" w:hAnsi="Arial"/>
          <w:b/>
          <w:bCs/>
          <w:color w:val="2A2F3B"/>
          <w:sz w:val="22"/>
          <w:szCs w:val="22"/>
        </w:rPr>
        <w:t xml:space="preserve">Ф.4. </w:t>
      </w:r>
      <w:r>
        <w:rPr>
          <w:rFonts w:ascii="Arial" w:cs="Arial" w:eastAsia="Arial" w:hAnsi="Arial"/>
          <w:color w:val="333333"/>
          <w:sz w:val="22"/>
          <w:szCs w:val="22"/>
        </w:rPr>
        <w:t xml:space="preserve">Технические сбои оборудования Сторон, перебои интернета менее 4 часов, задержки банковских переводов и нехватка у Стороны денежных средств форс-мажором не признаются.</w:t>
      </w:r>
    </w:p>
    <w:p>
      <w:pPr>
        <w:pStyle w:val="Heading1"/>
        <w:pBdr>
          <w:bottom w:val="single" w:color="D6001C" w:sz="8" w:space="4"/>
        </w:pBdr>
        <w:spacing w:after="160" w:before="320" w:line="300"/>
      </w:pPr>
      <w:r>
        <w:rPr>
          <w:rFonts w:ascii="Arial" w:cs="Arial" w:eastAsia="Arial" w:hAnsi="Arial"/>
          <w:b/>
          <w:bCs/>
          <w:color w:val="2A2F3B"/>
          <w:sz w:val="26"/>
          <w:szCs w:val="26"/>
        </w:rPr>
        <w:t xml:space="preserve">РАЗРЕШЕНИЕ СПОРОВ</w:t>
      </w:r>
    </w:p>
    <w:p>
      <w:pPr>
        <w:spacing w:after="90" w:before="40" w:line="300"/>
      </w:pPr>
      <w:r>
        <w:rPr>
          <w:rFonts w:ascii="Arial" w:cs="Arial" w:eastAsia="Arial" w:hAnsi="Arial"/>
          <w:b/>
          <w:bCs/>
          <w:color w:val="2A2F3B"/>
          <w:sz w:val="22"/>
          <w:szCs w:val="22"/>
        </w:rPr>
        <w:t xml:space="preserve">С.1. </w:t>
      </w:r>
      <w:r>
        <w:rPr>
          <w:rFonts w:ascii="Arial" w:cs="Arial" w:eastAsia="Arial" w:hAnsi="Arial"/>
          <w:color w:val="333333"/>
          <w:sz w:val="22"/>
          <w:szCs w:val="22"/>
        </w:rPr>
        <w:t xml:space="preserve">Все споры и разногласия по Договору Стороны разрешают путём переговоров. Сторона, получившая предложение о переговорах, направляет ответ в течение 10 рабочих дней.</w:t>
      </w:r>
    </w:p>
    <w:p>
      <w:pPr>
        <w:spacing w:after="90" w:before="40" w:line="300"/>
      </w:pPr>
      <w:r>
        <w:rPr>
          <w:rFonts w:ascii="Arial" w:cs="Arial" w:eastAsia="Arial" w:hAnsi="Arial"/>
          <w:b/>
          <w:bCs/>
          <w:color w:val="2A2F3B"/>
          <w:sz w:val="22"/>
          <w:szCs w:val="22"/>
        </w:rPr>
        <w:t xml:space="preserve">С.2. </w:t>
      </w:r>
      <w:r>
        <w:rPr>
          <w:rFonts w:ascii="Arial" w:cs="Arial" w:eastAsia="Arial" w:hAnsi="Arial"/>
          <w:color w:val="333333"/>
          <w:sz w:val="22"/>
          <w:szCs w:val="22"/>
        </w:rPr>
        <w:t xml:space="preserve">Для Договора установлен обязательный претензионный порядок. Срок предъявления претензии 6 месяцев с момента, когда Сторона узнала о нарушении своих прав. Срок ответа на претензию 10 рабочих дней. Претензия направляется заказным письмом с уведомлением или по электронной почте с подтверждением прочтения.</w:t>
      </w:r>
    </w:p>
    <w:p>
      <w:pPr>
        <w:spacing w:after="90" w:before="40" w:line="300"/>
      </w:pPr>
      <w:r>
        <w:rPr>
          <w:rFonts w:ascii="Arial" w:cs="Arial" w:eastAsia="Arial" w:hAnsi="Arial"/>
          <w:b/>
          <w:bCs/>
          <w:color w:val="2A2F3B"/>
          <w:sz w:val="22"/>
          <w:szCs w:val="22"/>
        </w:rPr>
        <w:t xml:space="preserve">С.3. </w:t>
      </w:r>
      <w:r>
        <w:rPr>
          <w:rFonts w:ascii="Arial" w:cs="Arial" w:eastAsia="Arial" w:hAnsi="Arial"/>
          <w:color w:val="333333"/>
          <w:sz w:val="22"/>
          <w:szCs w:val="22"/>
        </w:rPr>
        <w:t xml:space="preserve">При недостижении согласия спор передаётся в суд общей юрисдикции по месту жительства потребителя (ст. 17 ЗоЗПП) или в арбитражный суд по подсудности. Применимое право, право Российской Федерации.</w:t>
      </w:r>
    </w:p>
    <w:p>
      <w:pPr>
        <w:pStyle w:val="Heading1"/>
        <w:pBdr>
          <w:bottom w:val="single" w:color="D6001C" w:sz="8" w:space="4"/>
        </w:pBdr>
        <w:spacing w:after="160" w:before="320" w:line="300"/>
      </w:pPr>
      <w:r>
        <w:rPr>
          <w:rFonts w:ascii="Arial" w:cs="Arial" w:eastAsia="Arial" w:hAnsi="Arial"/>
          <w:b/>
          <w:bCs/>
          <w:color w:val="2A2F3B"/>
          <w:sz w:val="26"/>
          <w:szCs w:val="26"/>
        </w:rPr>
        <w:t xml:space="preserve">10. РЕКВИЗИТЫ ИСПОЛНИТЕЛЯ</w:t>
      </w:r>
    </w:p>
    <w:p>
      <w:pPr>
        <w:spacing w:after="120" w:before="0" w:line="300"/>
        <w:jc w:val="left"/>
      </w:pPr>
      <w:r>
        <w:rPr>
          <w:rFonts w:ascii="Arial" w:cs="Arial" w:eastAsia="Arial" w:hAnsi="Arial"/>
          <w:b/>
          <w:bCs/>
          <w:i w:val="false"/>
          <w:iCs w:val="false"/>
          <w:color w:val="2A2F3B"/>
          <w:sz w:val="22"/>
          <w:szCs w:val="22"/>
        </w:rPr>
        <w:t xml:space="preserve">ИП Капустин Степан Александрович</w:t>
      </w:r>
    </w:p>
    <w:p>
      <w:pPr>
        <w:spacing w:after="120" w:before="0" w:line="300"/>
        <w:jc w:val="left"/>
      </w:pPr>
      <w:r>
        <w:rPr>
          <w:rFonts w:ascii="Arial" w:cs="Arial" w:eastAsia="Arial" w:hAnsi="Arial"/>
          <w:b w:val="false"/>
          <w:bCs w:val="false"/>
          <w:i w:val="false"/>
          <w:iCs w:val="false"/>
          <w:color w:val="2A2F3B"/>
          <w:sz w:val="22"/>
          <w:szCs w:val="22"/>
        </w:rPr>
        <w:t xml:space="preserve">ИНН 590419377214   ОГРНИП 324595800072592</w:t>
      </w:r>
    </w:p>
    <w:p>
      <w:pPr>
        <w:spacing w:after="120" w:before="0" w:line="300"/>
        <w:jc w:val="left"/>
      </w:pPr>
      <w:r>
        <w:rPr>
          <w:rFonts w:ascii="Arial" w:cs="Arial" w:eastAsia="Arial" w:hAnsi="Arial"/>
          <w:b w:val="false"/>
          <w:bCs w:val="false"/>
          <w:i w:val="false"/>
          <w:iCs w:val="false"/>
          <w:color w:val="2A2F3B"/>
          <w:sz w:val="22"/>
          <w:szCs w:val="22"/>
        </w:rPr>
        <w:t xml:space="preserve">Адрес: 427620, Удмуртская Республика, г. Глазов</w:t>
      </w:r>
    </w:p>
    <w:p>
      <w:pPr>
        <w:spacing w:after="120" w:before="0" w:line="300"/>
        <w:jc w:val="left"/>
      </w:pPr>
      <w:r>
        <w:rPr>
          <w:rFonts w:ascii="Arial" w:cs="Arial" w:eastAsia="Arial" w:hAnsi="Arial"/>
          <w:b w:val="false"/>
          <w:bCs w:val="false"/>
          <w:i w:val="false"/>
          <w:iCs w:val="false"/>
          <w:color w:val="2A2F3B"/>
          <w:sz w:val="22"/>
          <w:szCs w:val="22"/>
        </w:rPr>
        <w:t xml:space="preserve">Сайт: lot-click.ru</w:t>
      </w:r>
    </w:p>
    <w:p>
      <w:pPr>
        <w:spacing w:after="120" w:before="0" w:line="300"/>
        <w:jc w:val="left"/>
      </w:pPr>
      <w:r>
        <w:rPr>
          <w:rFonts w:ascii="Arial" w:cs="Arial" w:eastAsia="Arial" w:hAnsi="Arial"/>
          <w:b w:val="false"/>
          <w:bCs w:val="false"/>
          <w:i w:val="false"/>
          <w:iCs w:val="false"/>
          <w:color w:val="2A2F3B"/>
          <w:sz w:val="22"/>
          <w:szCs w:val="22"/>
        </w:rPr>
        <w:t xml:space="preserve">Email: lotclick@mail.ru</w:t>
      </w:r>
    </w:p>
    <w:p>
      <w:pPr>
        <w:spacing w:after="120" w:before="0" w:line="300"/>
        <w:jc w:val="left"/>
      </w:pPr>
      <w:r>
        <w:rPr>
          <w:rFonts w:ascii="Arial" w:cs="Arial" w:eastAsia="Arial" w:hAnsi="Arial"/>
          <w:b w:val="false"/>
          <w:bCs w:val="false"/>
          <w:i w:val="false"/>
          <w:iCs w:val="false"/>
          <w:color w:val="2A2F3B"/>
          <w:sz w:val="22"/>
          <w:szCs w:val="22"/>
        </w:rPr>
        <w:t xml:space="preserve">Telegram: @LOTCLICK</w:t>
      </w:r>
    </w:p>
    <w:p>
      <w:pPr>
        <w:spacing w:after="120" w:before="0" w:line="300"/>
        <w:jc w:val="left"/>
      </w:pPr>
      <w:r>
        <w:rPr>
          <w:rFonts w:ascii="Arial" w:cs="Arial" w:eastAsia="Arial" w:hAnsi="Arial"/>
          <w:b w:val="false"/>
          <w:bCs w:val="false"/>
          <w:i w:val="false"/>
          <w:iCs w:val="false"/>
          <w:color w:val="2A2F3B"/>
          <w:sz w:val="22"/>
          <w:szCs w:val="22"/>
        </w:rPr>
        <w:t xml:space="preserve">Тел.: +7 (912) 059-90-59</w:t>
      </w:r>
    </w:p>
    <w:p>
      <w:pPr>
        <w:spacing w:after="120" w:before="360"/>
        <w:jc w:val="center"/>
      </w:pPr>
      <w:r>
        <w:drawing>
          <wp:inline distT="0" distB="0" distL="0" distR="0">
            <wp:extent cx="914400" cy="9144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914400" cy="914400"/>
                    </a:xfrm>
                    <a:prstGeom prst="rect">
                      <a:avLst/>
                    </a:prstGeom>
                  </pic:spPr>
                </pic:pic>
              </a:graphicData>
            </a:graphic>
          </wp:inline>
        </w:drawing>
      </w:r>
    </w:p>
    <w:p>
      <w:pPr>
        <w:spacing w:after="60"/>
        <w:jc w:val="center"/>
      </w:pPr>
      <w:r>
        <w:rPr>
          <w:rFonts w:ascii="Arial" w:cs="Arial" w:eastAsia="Arial" w:hAnsi="Arial"/>
          <w:color w:val="555555"/>
          <w:sz w:val="18"/>
          <w:szCs w:val="18"/>
        </w:rPr>
        <w:t xml:space="preserve">Актуальная редакция и все приложения</w:t>
      </w:r>
    </w:p>
    <w:p>
      <w:pPr>
        <w:spacing w:after="0"/>
        <w:jc w:val="center"/>
      </w:pPr>
      <w:r>
        <w:rPr>
          <w:rFonts w:ascii="Arial" w:cs="Arial" w:eastAsia="Arial" w:hAnsi="Arial"/>
          <w:b/>
          <w:bCs/>
          <w:color w:val="D6001C"/>
          <w:sz w:val="22"/>
          <w:szCs w:val="22"/>
        </w:rPr>
        <w:t xml:space="preserve">lot-click.ru</w:t>
      </w:r>
    </w:p>
    <w:sectPr>
      <w:headerReference w:type="default" r:id="rId7"/>
      <w:footerReference w:type="default" r:id="rId8"/>
      <w:pgSz w:w="11906" w:h="16838" w:orient="portrait"/>
      <w:pgMar w:top="1200" w:right="1200" w:bottom="1440" w:left="1200" w:header="400" w:footer="4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360"/>
      <w:tblBorders>
        <w:top w:val="single" w:color="C8A850" w:sz="4"/>
        <w:left w:val="none" w:color="FFFFFF" w:sz="0"/>
        <w:bottom w:val="none" w:color="FFFFFF" w:sz="0"/>
        <w:right w:val="none" w:color="FFFFFF" w:sz="0"/>
        <w:insideH w:val="none" w:color="FFFFFF" w:sz="0"/>
        <w:insideV w:val="none" w:color="FFFFFF" w:sz="0"/>
      </w:tblBorders>
    </w:tblPr>
    <w:tblGrid>
      <w:gridCol w:w="1440"/>
      <w:gridCol w:w="5760"/>
      <w:gridCol w:w="2160"/>
    </w:tblGrid>
    <w:tr>
      <w:tc>
        <w:tcPr>
          <w:tcW w:type="dxa" w:w="1440"/>
          <w:tcBorders>
            <w:top w:val="none" w:color="FFFFFF" w:sz="0"/>
            <w:left w:val="none" w:color="FFFFFF" w:sz="0"/>
            <w:bottom w:val="none" w:color="FFFFFF" w:sz="0"/>
            <w:right w:val="none" w:color="FFFFFF" w:sz="0"/>
          </w:tcBorders>
          <w:tcMar>
            <w:top w:type="dxa" w:w="80"/>
            <w:left w:type="dxa" w:w="0"/>
            <w:bottom w:type="dxa" w:w="80"/>
            <w:right w:type="dxa" w:w="80"/>
          </w:tcMar>
          <w:vAlign w:val="center"/>
        </w:tcPr>
        <w:p>
          <w:pPr>
            <w:spacing w:after="0"/>
            <w:jc w:val="left"/>
          </w:pPr>
          <w:r>
            <w:drawing>
              <wp:inline distT="0" distB="0" distL="0" distR="0">
                <wp:extent cx="609600" cy="609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09600" cy="609600"/>
                        </a:xfrm>
                        <a:prstGeom prst="rect">
                          <a:avLst/>
                        </a:prstGeom>
                      </pic:spPr>
                    </pic:pic>
                  </a:graphicData>
                </a:graphic>
              </wp:inline>
            </w:drawing>
          </w:r>
        </w:p>
      </w:tc>
      <w:tc>
        <w:tcPr>
          <w:tcW w:type="dxa" w:w="5760"/>
          <w:tcBorders>
            <w:top w:val="none" w:color="FFFFFF" w:sz="0"/>
            <w:left w:val="none" w:color="FFFFFF" w:sz="0"/>
            <w:bottom w:val="none" w:color="FFFFFF" w:sz="0"/>
            <w:right w:val="none" w:color="FFFFFF" w:sz="0"/>
          </w:tcBorders>
          <w:tcMar>
            <w:top w:type="dxa" w:w="80"/>
            <w:left w:type="dxa" w:w="80"/>
            <w:bottom w:type="dxa" w:w="80"/>
            <w:right w:type="dxa" w:w="80"/>
          </w:tcMar>
          <w:vAlign w:val="center"/>
        </w:tcPr>
        <w:p>
          <w:pPr>
            <w:spacing w:after="30"/>
          </w:pPr>
          <w:r>
            <w:rPr>
              <w:rFonts w:ascii="Arial" w:cs="Arial" w:eastAsia="Arial" w:hAnsi="Arial"/>
              <w:b/>
              <w:bCs/>
              <w:color w:val="2A2F3B"/>
              <w:sz w:val="18"/>
              <w:szCs w:val="18"/>
            </w:rPr>
            <w:t xml:space="preserve">ЛОТ·КЛИК</w:t>
          </w:r>
          <w:r>
            <w:rPr>
              <w:rFonts w:ascii="Arial" w:cs="Arial" w:eastAsia="Arial" w:hAnsi="Arial"/>
              <w:color w:val="555555"/>
              <w:sz w:val="16"/>
              <w:szCs w:val="16"/>
            </w:rPr>
            <w:t xml:space="preserve">  ·  брокерское сопровождение торгов по банкротству</w:t>
          </w:r>
        </w:p>
        <w:p>
          <w:pPr>
            <w:spacing w:after="0"/>
          </w:pPr>
          <w:r>
            <w:rPr>
              <w:rFonts w:ascii="Arial" w:cs="Arial" w:eastAsia="Arial" w:hAnsi="Arial"/>
              <w:color w:val="555555"/>
              <w:sz w:val="15"/>
              <w:szCs w:val="15"/>
            </w:rPr>
            <w:t xml:space="preserve">ИП Капустин С.А.   ИНН 590419377214   ОГРНИП 324595800072592</w:t>
          </w:r>
        </w:p>
        <w:p>
          <w:pPr>
            <w:spacing w:after="0"/>
          </w:pPr>
          <w:r>
            <w:rPr>
              <w:rFonts w:ascii="Arial" w:cs="Arial" w:eastAsia="Arial" w:hAnsi="Arial"/>
              <w:color w:val="555555"/>
              <w:sz w:val="15"/>
              <w:szCs w:val="15"/>
            </w:rPr>
            <w:t xml:space="preserve">lot-click.ru  ·  lotclick@mail.ru  ·  +7 (912) 059-90-59  ·  @LOTCLICK</w:t>
          </w:r>
        </w:p>
      </w:tc>
      <w:tc>
        <w:tcPr>
          <w:tcW w:type="dxa" w:w="2160"/>
          <w:tcBorders>
            <w:top w:val="none" w:color="FFFFFF" w:sz="0"/>
            <w:left w:val="none" w:color="FFFFFF" w:sz="0"/>
            <w:bottom w:val="none" w:color="FFFFFF" w:sz="0"/>
            <w:right w:val="none" w:color="FFFFFF" w:sz="0"/>
          </w:tcBorders>
          <w:tcMar>
            <w:top w:type="dxa" w:w="80"/>
            <w:left w:type="dxa" w:w="80"/>
            <w:bottom w:type="dxa" w:w="80"/>
            <w:right w:type="dxa" w:w="0"/>
          </w:tcMar>
          <w:vAlign w:val="center"/>
        </w:tcPr>
        <w:p>
          <w:pPr>
            <w:spacing w:after="0"/>
            <w:jc w:val="right"/>
          </w:pPr>
          <w:r>
            <w:rPr>
              <w:rFonts w:ascii="Arial" w:cs="Arial" w:eastAsia="Arial" w:hAnsi="Arial"/>
              <w:color w:val="555555"/>
              <w:sz w:val="18"/>
              <w:szCs w:val="18"/>
            </w:rPr>
            <w:t xml:space="preserve">с. </w:t>
          </w:r>
          <w:r>
            <w:rPr>
              <w:rFonts w:ascii="Arial" w:cs="Arial" w:eastAsia="Arial" w:hAnsi="Arial"/>
              <w:b/>
              <w:bCs/>
              <w:color w:val="2A2F3B"/>
              <w:sz w:val="18"/>
              <w:szCs w:val="18"/>
            </w:rPr>
            <w:fldChar w:fldCharType="begin"/>
            <w:instrText xml:space="preserve">PAGE</w:instrText>
            <w:fldChar w:fldCharType="separate"/>
            <w:fldChar w:fldCharType="end"/>
          </w:r>
          <w:r>
            <w:rPr>
              <w:rFonts w:ascii="Arial" w:cs="Arial" w:eastAsia="Arial" w:hAnsi="Arial"/>
              <w:color w:val="555555"/>
              <w:sz w:val="18"/>
              <w:szCs w:val="18"/>
            </w:rPr>
            <w:t xml:space="preserve"> из </w:t>
          </w:r>
          <w:r>
            <w:rPr>
              <w:rFonts w:ascii="Arial" w:cs="Arial" w:eastAsia="Arial" w:hAnsi="Arial"/>
              <w:b/>
              <w:bCs/>
              <w:color w:val="2A2F3B"/>
              <w:sz w:val="18"/>
              <w:szCs w:val="18"/>
            </w:rPr>
            <w:fldChar w:fldCharType="begin"/>
            <w:instrText xml:space="preserve">NUMPAGES</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60"/>
      <w:jc w:val="center"/>
    </w:pPr>
    <w:r>
      <w:drawing>
        <wp:inline distT="0" distB="0" distL="0" distR="0">
          <wp:extent cx="6286500" cy="5048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6286500" cy="50482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2A2F3B"/>
      <w:sz w:val="26"/>
      <w:szCs w:val="26"/>
    </w:rPr>
  </w:style>
  <w:style w:type="paragraph" w:styleId="Heading2">
    <w:name w:val="Heading 2"/>
    <w:basedOn w:val="Normal"/>
    <w:next w:val="Normal"/>
    <w:qFormat/>
    <w:pPr>
      <w:spacing w:after="100" w:before="200"/>
      <w:outlineLvl w:val="1"/>
    </w:pPr>
    <w:rPr>
      <w:rFonts w:ascii="Arial" w:cs="Arial" w:eastAsia="Arial" w:hAnsi="Arial"/>
      <w:b/>
      <w:bCs/>
      <w:color w:val="2A2F3B"/>
      <w:sz w:val="23"/>
      <w:szCs w:val="23"/>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e11def6a9b086dce92154835debd50d9a6744366.png"/><Relationship Id="rId10" Type="http://schemas.openxmlformats.org/officeDocument/2006/relationships/image" Target="media/138d511de5ba2b36134d37241733e2703cb4bf44.png"/><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Relationship Id="rId0" Type="http://schemas.openxmlformats.org/officeDocument/2006/relationships/image" Target="media/138d511de5ba2b36134d37241733e2703cb4bf44.png"/></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421286d3f2e45b10fa1a3d14632e576b35860fd7.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Публичная оферта</dc:title>
  <dc:creator>ЛОТ·КЛИК</dc:creator>
  <dc:description>lot-click.ru</dc:description>
  <cp:lastModifiedBy>Un-named</cp:lastModifiedBy>
  <cp:revision>1</cp:revision>
  <dcterms:created xsi:type="dcterms:W3CDTF">2026-04-22T07:31:47.650Z</dcterms:created>
  <dcterms:modified xsi:type="dcterms:W3CDTF">2026-04-22T07:31:47.650Z</dcterms:modified>
</cp:coreProperties>
</file>

<file path=docProps/custom.xml><?xml version="1.0" encoding="utf-8"?>
<Properties xmlns="http://schemas.openxmlformats.org/officeDocument/2006/custom-properties" xmlns:vt="http://schemas.openxmlformats.org/officeDocument/2006/docPropsVTypes"/>
</file>