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80" w:before="240"/>
        <w:jc w:val="center"/>
      </w:pPr>
      <w:r>
        <w:drawing>
          <wp:inline distT="0" distB="0" distL="0" distR="0">
            <wp:extent cx="1333500" cy="1333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80"/>
        <w:jc w:val="center"/>
      </w:pPr>
      <w:r>
        <w:rPr>
          <w:rFonts w:ascii="Arial" w:cs="Arial" w:eastAsia="Arial" w:hAnsi="Arial"/>
          <w:b/>
          <w:bCs/>
          <w:color w:val="2A2F3B"/>
          <w:sz w:val="38"/>
          <w:szCs w:val="38"/>
        </w:rPr>
        <w:t xml:space="preserve">ДОГОВОР ПОРУЧЕНИЯ № ___</w:t>
      </w:r>
    </w:p>
    <w:p>
      <w:pPr>
        <w:spacing w:after="120"/>
        <w:jc w:val="center"/>
      </w:pPr>
      <w:r>
        <w:rPr>
          <w:rFonts w:ascii="Arial" w:cs="Arial" w:eastAsia="Arial" w:hAnsi="Arial"/>
          <w:b w:val="false"/>
          <w:bCs w:val="false"/>
          <w:color w:val="2A2F3B"/>
          <w:sz w:val="26"/>
          <w:szCs w:val="26"/>
        </w:rPr>
        <w:t xml:space="preserve">на сопровождение сделки с недвижимостью</w:t>
      </w:r>
    </w:p>
    <w:p>
      <w:pPr>
        <w:spacing w:after="240"/>
        <w:jc w:val="center"/>
      </w:pPr>
      <w:r>
        <w:rPr>
          <w:rFonts w:ascii="Arial" w:cs="Arial" w:eastAsia="Arial" w:hAnsi="Arial"/>
          <w:i/>
          <w:iCs/>
          <w:color w:val="555555"/>
          <w:sz w:val="22"/>
          <w:szCs w:val="22"/>
        </w:rPr>
        <w:t xml:space="preserve">Доверитель: гражданин   ·   Поверенный: ИП</w:t>
      </w:r>
    </w:p>
    <w:p>
      <w:pPr>
        <w:pBdr>
          <w:bottom w:val="single" w:color="C8A850" w:sz="12" w:space="1"/>
        </w:pBdr>
        <w:spacing w:after="180"/>
      </w:pPr>
      <w:r>
        <w:rPr>
          <w:sz w:val="2"/>
          <w:szCs w:val="2"/>
        </w:rPr>
        <w:t xml:space="preserve"/>
      </w:r>
    </w:p>
    <w:p>
      <w:pPr>
        <w:spacing w:after="240"/>
        <w:jc w:val="center"/>
      </w:pPr>
      <w:r>
        <w:rPr>
          <w:rFonts w:ascii="Arial" w:cs="Arial" w:eastAsia="Arial" w:hAnsi="Arial"/>
          <w:b/>
          <w:bCs/>
          <w:color w:val="2A2F3B"/>
          <w:sz w:val="20"/>
          <w:szCs w:val="20"/>
        </w:rPr>
        <w:t xml:space="preserve">Правовая основа: </w:t>
      </w:r>
      <w:r>
        <w:rPr>
          <w:rFonts w:ascii="Arial" w:cs="Arial" w:eastAsia="Arial" w:hAnsi="Arial"/>
          <w:i/>
          <w:iCs/>
          <w:color w:val="555555"/>
          <w:sz w:val="20"/>
          <w:szCs w:val="20"/>
        </w:rPr>
        <w:t xml:space="preserve">гл. 49 ГК РФ (ст. 971-979); ФЗ-218 «О государственной регистрации недвижимости»; Закон РФ № 2300-1 «О защите прав потребителей»; ФЗ-152</w:t>
      </w:r>
    </w:p>
    <w:tbl>
      <w:tblPr>
        <w:tblW w:type="dxa" w:w="9360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0"/>
              <w:bottom w:type="dxa" w:w="80"/>
              <w:right w:type="dxa" w:w="80"/>
            </w:tcMar>
          </w:tcPr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г.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2"/>
                <w:szCs w:val="22"/>
              </w:rPr>
              <w:t xml:space="preserve">_________________________</w:t>
            </w:r>
          </w:p>
        </w:tc>
        <w:tc>
          <w:tcPr>
            <w:tcW w:type="dxa" w:w="46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80"/>
              <w:bottom w:type="dxa" w:w="80"/>
              <w:right w:type="dxa" w:w="0"/>
            </w:tcMar>
          </w:tcPr>
          <w:p>
            <w:pPr>
              <w:spacing w:after="120" w:before="0" w:line="300"/>
              <w:jc w:val="righ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«___»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2"/>
                <w:szCs w:val="22"/>
              </w:rPr>
              <w:t xml:space="preserve">___________ 2026 г.</w:t>
            </w:r>
          </w:p>
        </w:tc>
      </w:tr>
    </w:tbl>
    <w:p>
      <w:pPr>
        <w:spacing w:after="12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/>
      </w:r>
    </w:p>
    <w:p>
      <w:pPr>
        <w:spacing w:after="120" w:before="0" w:line="30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2A2F3B"/>
          <w:sz w:val="22"/>
          <w:szCs w:val="22"/>
        </w:rPr>
        <w:t xml:space="preserve">Доверитель: 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>гражданин(-ка) РФ _________________________________, паспорт серии ____ № __________, выдан _________________________________, адрес _________________________________, тел. _________________, email _________________, с одной стороны, и</w:t>
      </w:r>
    </w:p>
    <w:p>
      <w:pPr>
        <w:spacing w:after="200" w:before="0" w:line="30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2A2F3B"/>
          <w:sz w:val="22"/>
          <w:szCs w:val="22"/>
        </w:rPr>
        <w:t xml:space="preserve">Поверенный: 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>ИП Капустин Степан Александрович, ИНН 590419377214, ОГРНИП 324595800072592, адрес 427620, Удмуртская Республика, г. Глазов, с другой стороны, заключили настоящий Договор.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1. ПРЕДМЕТ ДОГОВОРА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Доверитель поручает, а Поверенный обязуется совершать от имени и за счёт Доверителя юридические действия, связанные с приобретением, отчуждением или сопровождением сделки с объектом недвижимости: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адрес: _________________________________________________________________;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кадастровый номер: _______________________;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площадь: _____ кв.м;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тип сделки: покупка / продажа / обмен (нужное подчеркнуть).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Для исполнения Поручения Доверитель выдаёт Поверенному нотариально удостоверенную доверенность с полномочиями, необходимыми для совершения действий по настоящему Договору. Требование о нотариальной форме доверенности обусловлено ст. 185.1 ГК РФ: доверенность на совершение сделок, требующих нотариальной формы, на подачу заявлений о государственной регистрации прав или сделок, а также на распоряжение зарегистрированными в государственных реестрах правами должна быть нотариально удостоверена.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Состав юридических действий Поверенного: подготовка и подача заявления в Росреестр, получение выписок из ЕГРН, участие в переговорах с контрагентом, подписание договора купли-продажи, акта приёма-передачи, получение денежных средств за Доверителя (при продаже), внесение денежных средств (при покупке), сопровождение регистрации перехода права, получение ключей и документов.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Доверитель вправе в любое время отменить доверенность, уведомив Поверенного и зарегистрировав распоряжение об отмене в единой информационной системе нотариата (ст. 189 ГК РФ). Сведения о нотариальной отмене вносятся в реестр нотариальной палаты, сведения об отмене простой доверенности могут быть опубликованы в официальном издании сведений о банкротстве либо зарегистрированы через портал Федеральной нотариальной палаты.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2. ПРАВА И ОБЯЗАННОСТИ ПОВЕРЕННОГО</w:t>
      </w:r>
    </w:p>
    <w:p>
      <w:pPr>
        <w:pStyle w:val="Heading2"/>
        <w:spacing w:after="100" w:before="200" w:line="300"/>
      </w:pPr>
      <w:r>
        <w:rPr>
          <w:rFonts w:ascii="Arial" w:cs="Arial" w:eastAsia="Arial" w:hAnsi="Arial"/>
          <w:b/>
          <w:bCs/>
          <w:color w:val="2A2F3B"/>
          <w:sz w:val="23"/>
          <w:szCs w:val="23"/>
        </w:rPr>
        <w:t xml:space="preserve">2.1. Поверенный обязуется: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2.1.1.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исполнять Поручение лично, за исключением случаев, предусмотренных ст. 976 ГК РФ (передоверие возможно только с согласия Доверителя либо если такое право предоставлено настоящим Договором);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2.1.2.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сообщать Доверителю по его требованию все сведения о ходе исполнения Поручения;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2.1.3.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передавать Доверителю без промедления всё полученное по сделкам, совершённым во исполнение Поручения (денежные средства, документы, имущество);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2.1.4.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 исполнении Поручения или при прекращении Договора представить отчёт Поверенного с приложением оправдательных документов (ст. 974 ГК РФ);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2.1.5.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обеспечивать сохранность правоустанавливающих документов и иных документов Доверителя, переданных для исполнения Поручения;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2.1.6.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соблюдать конфиденциальность сведений, ставших ему известными в связи с исполнением Поручения.</w:t>
      </w:r>
    </w:p>
    <w:p>
      <w:pPr>
        <w:pStyle w:val="Heading2"/>
        <w:spacing w:after="100" w:before="200" w:line="300"/>
      </w:pPr>
      <w:r>
        <w:rPr>
          <w:rFonts w:ascii="Arial" w:cs="Arial" w:eastAsia="Arial" w:hAnsi="Arial"/>
          <w:b/>
          <w:bCs/>
          <w:color w:val="2A2F3B"/>
          <w:sz w:val="23"/>
          <w:szCs w:val="23"/>
        </w:rPr>
        <w:t xml:space="preserve">2.2. Поверенный вправе: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2.2.1.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отказаться от исполнения Поручения с уведомлением Доверителя за 10 дней, возвратив всё полученное и представив отчёт (ст. 977 ГК РФ);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2.2.2.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отступить от указаний Доверителя, если по обстоятельствам дела это необходимо в интересах Доверителя и Поверенный не мог предварительно запросить Доверителя либо не получил в разумный срок ответ на свой запрос (ст. 973 ГК РФ);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2.2.3.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получить вознаграждение и возмещение расходов в соответствии с разделом 4 Договора.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3. ПРАВА И ОБЯЗАННОСТИ ДОВЕРИТЕЛЯ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выдать Поверенному нотариальную доверенность в течение 5 рабочих дней с момента подписания Договора;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предоставить все правоустанавливающие документы на объект недвижимости и личные документы, необходимые для исполнения Поручения;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без промедления принять от Поверенного всё исполненное по Поручению;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уплатить Поверенному вознаграждение и возместить расходы согласно разделу 4;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3.5.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 отказе от исполнения Поручения возместить Поверенному фактически понесённые расходы и оплатить часть вознаграждения пропорционально выполненной работе (ст. 978 ГК РФ).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4. ВОЗНАГРАЖДЕНИЕ И РАСХОДЫ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Вознаграждение Поверенного составляет ____________ рублей либо _____% от цены сделки (выбрать), но не менее ____________ рублей.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Вознаграждение уплачивается Доверителем в следующем порядке: авансовый платёж ____________ рублей в течение 3 рабочих дней с момента подписания Договора; окончательный платёж в течение 5 рабочих дней с момента государственной регистрации перехода права / заключения сделки.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Расходы Поверенного по государственным пошлинам, нотариальным услугам, услугам БТИ, кадастрового инженера, оценщика возмещаются Доверителем по фактическим документально подтверждённым затратам в срок 3 рабочих дня с момента предъявления счёта.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Вознаграждение не облагается НДС, поскольку Поверенный применяет УСН (ст. 346.11 НК РФ) и на дату заключения Договора освобождён от НДС по п. 1 ст. 145 НК РФ (в ред. ФЗ № 425-ФЗ от 28.11.2025, лимит 20 млн рублей годового дохода в 2026 году). При превышении лимита или переходе на ОСН цена корректируется с учётом применяемой ставки НДС (22%, либо 5%/7% на УСН без права на вычет).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5. ОТВЕТСТВЕННОСТЬ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За нарушение сроков оплаты Доверитель уплачивает неустойку 0,1% от просроченной суммы за каждый день просрочки, но не более 10%.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За совершение Поверенным действий с нарушением указаний Доверителя (кроме случаев, предусмотренных ст. 973 ГК РФ) Поверенный возмещает Доверителю убытки в полном объёме, но не более суммы полученного вознаграждения.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6. СРОК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6.1.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Договор действует до полного исполнения обязательств Сторон, но не более 6 месяцев с момента подписания.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ОБСТОЯТЕЛЬСТВА НЕПРЕОДОЛИМОЙ СИЛЫ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Ф.1.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Стороны освобождаются от ответственности за полное или частичное неисполнение обязательств, если оно явилось следствием обстоятельств непреодолимой силы, возникших после заключения Договора, которые Стороны не могли предвидеть и предотвратить разумными мерами (ст. 401 ГК РФ). К таким обстоятельствам относятся: стихийные бедствия, эпидемии с введением ограничений, военные действия, террористические акты, акты органов государственной власти о приостановлении работы ЭТП, банков или регистрирующих органов.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Ф.2.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Сторона, для которой стало невозможным исполнение обязательств вследствие форс-мажора, уведомляет другую Сторону в течение 72 часов с момента возникновения обстоятельств. Факт подтверждается документами Торгово-промышленной палаты РФ, МЧС России либо вступившими в силу актами органов государственной власти.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Ф.3.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Если форс-мажор длится более 30 календарных дней, любая из Сторон вправе в одностороннем внесудебном порядке отказаться от Договора. Суммы за фактически оказанные услуги и понесённые расходы возврату не подлежат.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Ф.4.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Технические сбои оборудования Сторон, перебои интернета менее 4 часов, задержки банковских переводов и нехватка у Стороны денежных средств форс-мажором не признаются.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РАЗРЕШЕНИЕ СПОРОВ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Все споры и разногласия по Договору Стороны разрешают путём переговоров. Сторона, получившая предложение о переговорах, направляет ответ в течение 10 рабочих дней.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Для Договора установлен обязательный претензионный порядок. Срок предъявления претензии 6 месяцев с момента, когда Сторона узнала о нарушении своих прав. Срок ответа на претензию 10 рабочих дней. Претензия направляется заказным письмом с уведомлением или по электронной почте с подтверждением прочтения.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 недостижении согласия спор передаётся в суд общей юрисдикции по месту жительства потребителя (ст. 17 ЗоЗПП) или в арбитражный суд по подсудности. Применимое право, право Российской Федерации.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ПЕРСОНАЛЬНЫЕ ДАННЫЕ И КОНФИДЕНЦИАЛЬНОСТЬ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ПД.1.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Стороны обрабатывают персональные данные исключительно в целях исполнения Договора в соответствии с ФЗ-152 «О персональных данных». В силу ст. 9 ФЗ-152 в редакции Федерального закона № 420-ФЗ от 30.11.2024 (действует с 01.09.2025) согласие на обработку персональных данных оформляется отдельным документом, не совмещённым с другими условиями соглашения (Приложение «Согласие на обработку персональных данных»).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ПД.2.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Передача персональных данных третьим лицам допускается в объёме, необходимом для исполнения Договора: организаторам торгов, ЭТП, арбитражным управляющим, нотариусам, Росреестру, банкам, удостоверяющим центрам КЭП, операторам почтовой связи. Перечень третьих лиц указывается в Согласии.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ПД.3.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Условия Договора, стратегия участия в торгах, внутренние ценовые лимиты и иная информация, ставшая известной Сторонам, являются конфиденциальной и не подлежат разглашению в течение срока действия Договора и 3 лет после его прекращения.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ПД.4.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За умышленное разглашение конфиденциальной информации виновная Сторона возмещает документально подтверждённый реальный ущерб в полном объёме (ст. 15 ГК РФ).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ПД.5.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Стороны уведомлены об ответственности за нарушение законодательства о персональных данных: административная ответственность по ст. 13.11 КоАП РФ (штраф для юридических лиц от 150 000 до 300 000 рублей по общему составу нарушения, для неоднократных утечек, оборотные штрафы в ред. ФЗ № 420-ФЗ от 30.11.2024, действует с 30.05.2025); уголовная ответственность по ст. 272.1 УК РФ за незаконное использование или распространение персональных данных. Исполнитель обязан уведомить Роскомнадзор об утечке персональных данных в срок 24 часа.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ДОБРОСОВЕСТНОСТЬ ПРИОБРЕТАТЕЛЯ (ст. 302 ГК РФ)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ДП.1.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Стороны подтверждают: Покупатель (Приобретатель) на дату заключения Договора полагался на данные Единого государственного реестра недвижимости (абз. 3 п. 6 ст. 8.1 ГК РФ), в соответствии с которыми Продавец указан как правомочное лицо на отчуждение Объекта. Презумпция добросовестности приобретателя, опирающегося на данные ЕГРН, действует, пока в судебном порядке не доказано обратное.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ДП.2.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Покупатель в целях подтверждения добросовестности провёл следующие проверки (п. 38 Постановления Пленума ВС РФ и ВАС РФ № 10/22 от 29.04.2010 в ред. Постановления Пленума ВС РФ № 32 от 19.11.2024):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ДП.2.1.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получена актуальная выписка из ЕГРН об объекте (срок выдачи не более 14 дней до сделки) с подтверждением права Продавца и отсутствия обременений, арестов, судебных споров;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ДП.2.2.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изучена цепочка предыдущих сделок с Объектом за период не менее 3 лет (срок общей исковой давности по ст. 181 ГК РФ);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ДП.2.3.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Продавец (при банкротстве, конкурсный или финансовый управляющий) проверен в ЕФРСБ (bankrot.fedresurs.ru); наличие дела о банкротстве, судебных актов, оспариваемых сделок установлено;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ДП.2.4.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Продавец проверен в картотеке арбитражных дел (kad.arbitr.ru) и банке данных исполнительных производств ФССП;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ДП.2.5.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Продавец проверен в реестре уведомлений о залоге движимого имущества нотариата (reestr-zalogov.ru), применимо к движимому имуществу;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ДП.2.6.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проведён визуальный осмотр Объекта с составлением акта осмотра, фотофиксацией, проверкой соответствия фактического состояния документам;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ДП.2.7.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цена Объекта соответствует рыночному уровню (неравноценность встречного исполнения по ч. 1 ст. 61.2 ФЗ-127 является основанием для оспаривания сделки в банкротстве). Занижение цены в Договоре не допускается.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ДП.3.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Расчёты производятся исключительно в безналичной форме путём перечисления на расчётный счёт Продавца (или на специальный счёт продавца-банкрота по указанию арбитражного управляющего). Наличные расчёты не применяются. Расчёты через индивидуальный банковский сейф с участием сотрудника банка допускаются с оформлением расписки о получении средств.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ДП.4.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Согласно позиции Президиума ВС РФ (Обзор судебной практики ВС РФ № 2 за 2025 год от 18.06.2025, пункт 1): недействительность сделки, на основании которой передано имущество, сама по себе не свидетельствует о его выбытии из владения собственника помимо воли и не является достаточным основанием для истребования имущества у последующего добросовестного приобретателя. Попытки продавца скрыть имущество от кредиторов не влияют на добросовестность приобретателя, если тот не знал о банкротстве правоотчуждателя.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ДП.5.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Согласно позиции Конституционного Суда РФ (Постановление от 22.06.2017 № 16-П по делу Дубовца, Определение КС РФ № 907-О от 10.04.2025) данные ЕГРН обладают публичной достоверностью. Приобретатель, полагавшийся на данные ЕГРН, подлежит защите и в случае ошибок органов государственной власти.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ДП.6.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Согласно правовой позиции Судебной коллегии по гражданским делам Верховного Суда РФ (Определение от 16.12.2025 по делу Долина, Лурье): заблуждение продавца относительно мотивов сделки не образует основания для признания сделки недействительной по ст. 178 ГК РФ; при невозможности добросовестного контрагента распознать заблуждение продавца закон защищает именно добросовестного приобретателя; признание сделки недействительной создаёт угрозу для стабильности гражданского оборота и подрывает доверие к государственному реестру недвижимости.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ДП.7.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Для дополнительной защиты Покупателю рекомендуется заключить договор титульного страхования на срок не менее 3 лет (срок давности оспаривания сделок по ст. 181 ГК РФ, п. 1). При банкротстве, 3 года для сделок с целью причинения вреда кредиторам (ч. 2 ст. 61.2 ФЗ-127). Тариф титульного страхования ориентировочно 0,15-0,5% от стоимости Объекта в год.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ДП.8.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Продавец гарантирует Покупателю: (а) отсутствие признаков порока воли при заключении Договора; (б) осознание правовых последствий сделки; (в) отсутствие действий мошенников, влияющих на его волю; (г) намерение передать вырученные средства только по собственному усмотрению. В случае установления судом недобросовестности Продавца либо его действий под влиянием третьих лиц, повлекших оспаривание сделки и изъятие Объекта у Покупателя, Продавец обязан возместить Покупателю все убытки, включая двукратную цену сделки в качестве штрафа (ст. 333, 394 ГК РФ).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РЕКВИЗИТЫ И ПОДПИСИ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single" w:color="C8A850" w:sz="6"/>
              <w:left w:val="single" w:color="C8A850" w:sz="6"/>
              <w:bottom w:val="single" w:color="C8A850" w:sz="6"/>
              <w:right w:val="single" w:color="C8A850" w:sz="6"/>
            </w:tcBorders>
            <w:shd w:fill="F5F3EE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120"/>
              <w:jc w:val="center"/>
            </w:pPr>
            <w:r>
              <w:rPr>
                <w:rFonts w:ascii="Arial" w:cs="Arial" w:eastAsia="Arial" w:hAnsi="Arial"/>
                <w:b/>
                <w:bCs/>
                <w:color w:val="2A2F3B"/>
                <w:sz w:val="24"/>
                <w:szCs w:val="24"/>
              </w:rPr>
              <w:t xml:space="preserve">ПОВЕРЕННЫЙ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Наименование: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ИП Капустин Степан Александрович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ИНН: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590419377214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ОГРНИП: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324595800072592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Адрес: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427620, Удмуртская Республика, г. Глазов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Тел.: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+7 (912) 059-90-59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Email: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lotclick@mail.ru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Telegram: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@LOTCLICK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Сайт: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lot-click.ru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Р/с: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Банк: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БИК: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  К/с: ____________</w:t>
            </w:r>
          </w:p>
          <w:p>
            <w:pPr>
              <w:spacing w:after="0" w:before="28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_____________________ / 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</w:t>
            </w:r>
          </w:p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7"/>
                <w:szCs w:val="17"/>
              </w:rPr>
              <w:t xml:space="preserve">(подпись, расшифровка)</w:t>
            </w:r>
          </w:p>
        </w:tc>
        <w:tc>
          <w:tcPr>
            <w:tcW w:type="dxa" w:w="4680"/>
            <w:tcBorders>
              <w:top w:val="single" w:color="C8A850" w:sz="6"/>
              <w:left w:val="single" w:color="C8A850" w:sz="6"/>
              <w:bottom w:val="single" w:color="C8A850" w:sz="6"/>
              <w:right w:val="single" w:color="C8A850" w:sz="6"/>
            </w:tcBorders>
            <w:shd w:fill="F5F3EE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120"/>
              <w:jc w:val="center"/>
            </w:pPr>
            <w:r>
              <w:rPr>
                <w:rFonts w:ascii="Arial" w:cs="Arial" w:eastAsia="Arial" w:hAnsi="Arial"/>
                <w:b/>
                <w:bCs/>
                <w:color w:val="2A2F3B"/>
                <w:sz w:val="24"/>
                <w:szCs w:val="24"/>
              </w:rPr>
              <w:t xml:space="preserve">ДОВЕРИТЕЛЬ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ФИО: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Дата рождения: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Паспорт серия: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 № 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Выдан: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«___» _________ _____ г.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Код подразделения: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Адрес регистрации: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Фактический адрес: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Тел.: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Email: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ИНН: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СНИЛС: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0" w:before="28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_____________________ / 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</w:t>
            </w:r>
          </w:p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7"/>
                <w:szCs w:val="17"/>
              </w:rPr>
              <w:t xml:space="preserve">(подпись, расшифровка)</w:t>
            </w:r>
          </w:p>
        </w:tc>
      </w:tr>
    </w:tbl>
    <w:p>
      <w:pPr>
        <w:spacing w:after="120" w:before="360"/>
        <w:jc w:val="center"/>
      </w:pPr>
      <w:r>
        <w:drawing>
          <wp:inline distT="0" distB="0" distL="0" distR="0">
            <wp:extent cx="914400" cy="9144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0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60"/>
        <w:jc w:val="center"/>
      </w:pPr>
      <w:r>
        <w:rPr>
          <w:rFonts w:ascii="Arial" w:cs="Arial" w:eastAsia="Arial" w:hAnsi="Arial"/>
          <w:color w:val="555555"/>
          <w:sz w:val="18"/>
          <w:szCs w:val="18"/>
        </w:rPr>
        <w:t xml:space="preserve">Актуальная редакция и все приложения</w:t>
      </w:r>
    </w:p>
    <w:p>
      <w:pPr>
        <w:spacing w:after="0"/>
        <w:jc w:val="center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lot-click.ru</w:t>
      </w:r>
    </w:p>
    <w:sectPr>
      <w:headerReference w:type="default" r:id="rId7"/>
      <w:footerReference w:type="default" r:id="rId8"/>
      <w:pgSz w:w="11906" w:h="16838" w:orient="portrait"/>
      <w:pgMar w:top="1200" w:right="1200" w:bottom="1440" w:left="1200" w:header="400" w:footer="400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dxa" w:w="9360"/>
      <w:tblBorders>
        <w:top w:val="single" w:color="C8A850" w:sz="4"/>
        <w:left w:val="none" w:color="FFFFFF" w:sz="0"/>
        <w:bottom w:val="none" w:color="FFFFFF" w:sz="0"/>
        <w:right w:val="none" w:color="FFFFFF" w:sz="0"/>
        <w:insideH w:val="none" w:color="FFFFFF" w:sz="0"/>
        <w:insideV w:val="none" w:color="FFFFFF" w:sz="0"/>
      </w:tblBorders>
    </w:tblPr>
    <w:tblGrid>
      <w:gridCol w:w="1440"/>
      <w:gridCol w:w="5760"/>
      <w:gridCol w:w="2160"/>
    </w:tblGrid>
    <w:tr>
      <w:tc>
        <w:tcPr>
          <w:tcW w:type="dxa" w:w="144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0"/>
            <w:bottom w:type="dxa" w:w="80"/>
            <w:right w:type="dxa" w:w="80"/>
          </w:tcMar>
          <w:vAlign w:val="center"/>
        </w:tcPr>
        <w:p>
          <w:pPr>
            <w:spacing w:after="0"/>
            <w:jc w:val="left"/>
          </w:pPr>
          <w:r>
            <w:drawing>
              <wp:inline distT="0" distB="0" distL="0" distR="0">
                <wp:extent cx="609600" cy="609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609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7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80"/>
          </w:tcMar>
          <w:vAlign w:val="center"/>
        </w:tcPr>
        <w:p>
          <w:pPr>
            <w:spacing w:after="30"/>
          </w:pP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t xml:space="preserve">ЛОТ·КЛИК</w:t>
          </w:r>
          <w:r>
            <w:rPr>
              <w:rFonts w:ascii="Arial" w:cs="Arial" w:eastAsia="Arial" w:hAnsi="Arial"/>
              <w:color w:val="555555"/>
              <w:sz w:val="16"/>
              <w:szCs w:val="16"/>
            </w:rPr>
            <w:t xml:space="preserve">  ·  брокерское сопровождение торгов по банкротству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ИП Капустин С.А.   ИНН 590419377214   ОГРНИП 324595800072592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lot-click.ru  ·  lotclick@mail.ru  ·  +7 (912) 059-90-59  ·  @LOTCLICK</w:t>
          </w:r>
        </w:p>
      </w:tc>
      <w:tc>
        <w:tcPr>
          <w:tcW w:type="dxa" w:w="21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0"/>
          </w:tcMar>
          <w:vAlign w:val="center"/>
        </w:tcPr>
        <w:p>
          <w:pPr>
            <w:spacing w:after="0"/>
            <w:jc w:val="right"/>
          </w:pP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с.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 из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60"/>
      <w:jc w:val="center"/>
    </w:pPr>
    <w:r>
      <w:drawing>
        <wp:inline distT="0" distB="0" distL="0" distR="0">
          <wp:extent cx="6286500" cy="504825"/>
          <wp:effectExtent t="0" r="0" b="0" l="0"/>
          <wp:docPr id="1" name="" descr="" titl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504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320"/>
      <w:outlineLvl w:val="0"/>
    </w:pPr>
    <w:rPr>
      <w:rFonts w:ascii="Arial" w:cs="Arial" w:eastAsia="Arial" w:hAnsi="Arial"/>
      <w:b/>
      <w:bCs/>
      <w:color w:val="2A2F3B"/>
      <w:sz w:val="26"/>
      <w:szCs w:val="26"/>
    </w:rPr>
  </w:style>
  <w:style w:type="paragraph" w:styleId="Heading2">
    <w:name w:val="Heading 2"/>
    <w:basedOn w:val="Normal"/>
    <w:next w:val="Normal"/>
    <w:qFormat/>
    <w:pPr>
      <w:spacing w:after="100" w:before="200"/>
      <w:outlineLvl w:val="1"/>
    </w:pPr>
    <w:rPr>
      <w:rFonts w:ascii="Arial" w:cs="Arial" w:eastAsia="Arial" w:hAnsi="Arial"/>
      <w:b/>
      <w:bCs/>
      <w:color w:val="2A2F3B"/>
      <w:sz w:val="23"/>
      <w:szCs w:val="23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e11def6a9b086dce92154835debd50d9a6744366.png"/><Relationship Id="rId10" Type="http://schemas.openxmlformats.org/officeDocument/2006/relationships/image" Target="media/138d511de5ba2b36134d37241733e2703cb4bf44.png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><Relationship Id="rId0" Type="http://schemas.openxmlformats.org/officeDocument/2006/relationships/image" Target="media/138d511de5ba2b36134d37241733e2703cb4bf44.png"/></Relationships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421286d3f2e45b10fa1a3d14632e576b35860fd7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поручения недвижимость</dc:title>
  <dc:creator>ЛОТ·КЛИК</dc:creator>
  <dc:description>ст. 971-979 ГК РФ</dc:description>
  <cp:lastModifiedBy>Un-named</cp:lastModifiedBy>
  <cp:revision>1</cp:revision>
  <dcterms:created xsi:type="dcterms:W3CDTF">2026-04-22T07:31:45.360Z</dcterms:created>
  <dcterms:modified xsi:type="dcterms:W3CDTF">2026-04-22T07:31:45.360Z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