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КУПЛИ-ПРОДАЖИ АВТОМОБИЛЯ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приобретение с торгов по банкротству или исполнительному производству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454-491 ГК РФ; ФЗ-229; Приказ МВД России № 399 от 26.06.2018 (регистрация ТС)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Продавец ___________________________ и Покупатель ___________________________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передаёт Покупателю в собственность транспортное средство: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марка, модель: 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год выпуска: _____, цвет: 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VIN: 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номер кузова: __________________, номер шасси: 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государственный регистрационный знак: 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ПТС серия ____ № _________ выдан 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СТС серия ____ № _________ выдан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Основание возникновения права у Продавца: протокол о результатах торгов № ___ от «___» _________ 2026 г. (банкротство / реализация Росимуществом).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Автомобиль имеет следующие дефекты и повреждения (на дату осмотра):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Пробег на дату передачи: _____ км.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ЦЕНА И ОПЛАТА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 автомобиля составляет ______________ рублей. Реализация имущества должников-банкротов не является объектом обложения НДС (пп. 15 п. 2 ст. 146 НК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Задаток в размере ____________ рублей засчитывается в счёт оплаты.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Оставшаяся сумма уплачивается в течение 15 календарных дней путём безналичного перечисления на расчётный счёт Продавца, указанный в реквизитах. Расчёты наличными не производятся, кроме случаев передачи задатка до торгов по правилам организатора торгов.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ПЕРЕДАЧА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Автомобиль передаётся по акту приёма-передачи в течение 5 рабочих дней с момента оплаты.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передаёт Покупателю: автомобиль, ключи (включая запасные), ПТС, СТС, сервисную книжку, свидетельство ОСАГО (при наличии).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обязан зарегистрировать ТС в ГИБДД в течение 10 суток с момента передачи (ст. 8 ФЗ-283 «О государственной регистрации транспортных средств»). Госпошлина за регистрационные действия уплачивается Покупателем.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ГАРАНТИИ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гарантирует: ТС не в залоге (в реестре уведомлений о залоге движимого имущества нотариата на сайте reestr-zalogov.ru), не в розыске (по базе ГИБДД), не арестовано (кроме арестов, подлежащих снятию по факту реализации с торгов на основании ст. 126 ФЗ-127).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осмотрел ТС и ознакомлен с его техническим состоянием. ТС приобретается в состоянии «как есть».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не отвечает за скрытые недостатки, не выявленные при визуальном осмотре и не указанные в документации торгов.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уведомлён о возможности оспаривания сделок должника-банкрота в порядке гл. III.1 ФЗ-127 и о соответствующих сроках (1 год, 3 года, 1-6 месяцев в зависимости от оснований). При признании сделки недействительной применяются последствия ст. 61.6 ФЗ-127.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ДОБРОСОВЕСТНОСТЬ ПРИОБРЕТАТЕЛЯ (ст. 302 ГК РФ)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подтверждают: Покупатель (Приобретатель) на дату заключения Договора полагался на данные Единого государственного реестра недвижимости (абз. 3 п. 6 ст. 8.1 ГК РФ), в соответствии с которыми Продавец указан как правомочное лицо на отчуждение Объекта. Презумпция добросовестности приобретателя, опирающегося на данные ЕГРН, действует, пока в судебном порядке не доказано обратное.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в целях подтверждения добросовестности провёл следующие проверки (п. 38 Постановления Пленума ВС РФ и ВАС РФ № 10/22 от 29.04.2010 в ред. Постановления Пленума ВС РФ № 32 от 19.11.2024):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получена актуальная выписка из ЕГРН об объекте (срок выдачи не более 14 дней до сделки) с подтверждением права Продавца и отсутствия обременений, арестов, судебных споров;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изучена цепочка предыдущих сделок с Объектом за период не менее 3 лет (срок общей исковой давности по ст. 181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(при банкротстве, конкурсный или финансовый управляющий) проверен в ЕФРСБ (bankrot.fedresurs.ru); наличие дела о банкротстве, судебных актов, оспариваемых сделок установлено;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картотеке арбитражных дел (kad.arbitr.ru) и банке данных исполнительных производств ФССП;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реестре уведомлений о залоге движимого имущества нотариата (reestr-zalogov.ru), применимо к движимому имуществу;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проведён визуальный осмотр Объекта с составлением акта осмотра, фотофиксацией, проверкой соответствия фактического состояния документам;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 Объекта соответствует рыночному уровню (неравноценность встречного исполнения по ч. 1 ст. 61.2 ФЗ-127 является основанием для оспаривания сделки в банкротстве). Занижение цены в Договоре не допускается.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Расчёты производятся исключительно в безналичной форме путём перечисления на расчётный счёт Продавца (или на специальный счёт продавца-банкрота по указанию арбитражного управляющего). Наличные расчёты не применяются. Расчёты через индивидуальный банковский сейф с участием сотрудника банка допускаются с оформлением расписки о получении средств.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Президиума ВС РФ (Обзор судебной практики ВС РФ № 2 за 2025 год от 18.06.2025, пункт 1): недействительность сделки, на основании которой передано имущество, сама по себе не свидетельствует о его выбытии из владения собственника помимо воли и не является достаточным основанием для истребования имущества у последующего добросовестного приобретателя. Попытки продавца скрыть имущество от кредиторов не влияют на добросовестность приобретателя, если тот не знал о банкротстве правоотчуждателя.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Конституционного Суда РФ (Постановление от 22.06.2017 № 16-П по делу Дубовца, Определение КС РФ № 907-О от 10.04.2025) данные ЕГРН обладают публичной достоверностью. Приобретатель, полагавшийся на данные ЕГРН, подлежит защите и в случае ошибок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правовой позиции Судебной коллегии по гражданским делам Верховного Суда РФ (Определение от 16.12.2025 по делу Долина, Лурье): заблуждение продавца относительно мотивов сделки не образует основания для признания сделки недействительной по ст. 178 ГК РФ; при невозможности добросовестного контрагента распознать заблуждение продавца закон защищает именно добросовестного приобретателя; признание сделки недействительной создаёт угрозу для стабильности гражданского оборота и подрывает доверие к государственному реестру недвижимости.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дополнительной защиты Покупателю рекомендуется заключить договор титульного страхования на срок не менее 3 лет (срок давности оспаривания сделок по ст. 181 ГК РФ, п. 1). При банкротстве, 3 года для сделок с целью причинения вреда кредиторам (ч. 2 ст. 61.2 ФЗ-127). Тариф титульного страхования ориентировочно 0,15-0,5% от стоимости Объекта в год.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гарантирует Покупателю: (а) отсутствие признаков порока воли при заключении Договора; (б) осознание правовых последствий сделки; (в) отсутствие действий мошенников, влияющих на его волю; (г) намерение передать вырученные средства только по собственному усмотрению. В случае установления судом недобросовестности Продавца либо его действий под влиянием третьих лиц, повлекших оспаривание сделки и изъятие Объекта у Покупателя, Продавец обязан возместить Покупателю все убытки, включая двукратную цену сделки в качестве штрафа (ст. 333, 394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оплаты Покупатель уплачивает пеню 0,1% от просроченной суммы за день, но не более 10%.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невозможности снятия ареста с ТС по причинам, не зависящим от Продавца, Покупатель вправе расторгнуть Договор с возвратом уплаченного.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ПОДПИСИ СТОРОН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ПРОДАВЕЦ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ПОКУПАТЕЛЬ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ДКП автомобиля с торгов</dc:title>
  <dc:creator>ЛОТ·КЛИК</dc:creator>
  <dc:description>Договор купли-продажи ТС по результатам торгов</dc:description>
  <cp:lastModifiedBy>Un-named</cp:lastModifiedBy>
  <cp:revision>1</cp:revision>
  <dcterms:created xsi:type="dcterms:W3CDTF">2026-04-22T07:31:42.905Z</dcterms:created>
  <dcterms:modified xsi:type="dcterms:W3CDTF">2026-04-22T07:31:42.905Z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