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240"/>
        <w:jc w:val="center"/>
      </w:pPr>
      <w:r>
        <w:drawing>
          <wp:inline distT="0" distB="0" distL="0" distR="0">
            <wp:extent cx="1333500" cy="1333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80"/>
        <w:jc w:val="center"/>
      </w:pPr>
      <w:r>
        <w:rPr>
          <w:rFonts w:ascii="Arial" w:cs="Arial" w:eastAsia="Arial" w:hAnsi="Arial"/>
          <w:b/>
          <w:bCs/>
          <w:color w:val="2A2F3B"/>
          <w:sz w:val="38"/>
          <w:szCs w:val="38"/>
        </w:rPr>
        <w:t xml:space="preserve">АГЕНТСКИЙ ДОГОВОР № ___</w:t>
      </w:r>
    </w:p>
    <w:p>
      <w:pPr>
        <w:spacing w:after="120"/>
        <w:jc w:val="center"/>
      </w:pPr>
      <w:r>
        <w:rPr>
          <w:rFonts w:ascii="Arial" w:cs="Arial" w:eastAsia="Arial" w:hAnsi="Arial"/>
          <w:b w:val="false"/>
          <w:bCs w:val="false"/>
          <w:color w:val="2A2F3B"/>
          <w:sz w:val="26"/>
          <w:szCs w:val="26"/>
        </w:rPr>
        <w:t xml:space="preserve">на участие в торгах по банкротству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Агент: ИП   ·   Принципал: юридическое лицо</w:t>
      </w:r>
    </w:p>
    <w:p>
      <w:pPr>
        <w:pBdr>
          <w:bottom w:val="single" w:color="C8A850" w:sz="12" w:space="1"/>
        </w:pBdr>
        <w:spacing w:after="180"/>
      </w:pPr>
      <w:r>
        <w:rPr>
          <w:sz w:val="2"/>
          <w:szCs w:val="2"/>
        </w:rPr>
        <w:t xml:space="preserve"/>
      </w:r>
    </w:p>
    <w:p>
      <w:pPr>
        <w:spacing w:after="240"/>
        <w:jc w:val="center"/>
      </w:pPr>
      <w:r>
        <w:rPr>
          <w:rFonts w:ascii="Arial" w:cs="Arial" w:eastAsia="Arial" w:hAnsi="Arial"/>
          <w:b/>
          <w:bCs/>
          <w:color w:val="2A2F3B"/>
          <w:sz w:val="20"/>
          <w:szCs w:val="20"/>
        </w:rPr>
        <w:t xml:space="preserve">Правовая основа: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гл. 52 ГК РФ; ст. 110, 111, 138.1, 139 ФЗ-127; ст. 87-89 ФЗ-229; ФЗ-44; ФЗ-223; ФЗ-152</w:t>
      </w:r>
    </w:p>
    <w:tbl>
      <w:tblPr>
        <w:tblW w:type="dxa" w:w="936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80"/>
              <w:right w:type="dxa" w:w="80"/>
            </w:tcMar>
          </w:tcPr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г.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_________________________</w:t>
            </w:r>
          </w:p>
        </w:tc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80"/>
              <w:bottom w:type="dxa" w:w="80"/>
              <w:right w:type="dxa" w:w="0"/>
            </w:tcMar>
          </w:tcPr>
          <w:p>
            <w:pPr>
              <w:spacing w:after="120" w:before="0" w:line="300"/>
              <w:jc w:val="righ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«___»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 2026 г.</w:t>
            </w:r>
          </w:p>
        </w:tc>
      </w:tr>
    </w:tbl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ИП Капустин Степан Александрович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, ИНН 590419377214, ОГРНИП 324595800072592, именуемый в дальнейшем </w:t>
      </w: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«Агент»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, с одной стороны, и</w:t>
      </w:r>
    </w:p>
    <w:p>
      <w:pPr>
        <w:spacing w:after="20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Общество с ограниченной ответственностью / Акционерное общество «_______________________», ИНН _______________________, КПП _______________________, ОГРН _______________________, юридический адрес _____________________________________________, в лице _______________________________________, действующего(-ей) на основании _____________________________________________, именуемое в дальнейшем </w:t>
      </w: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«Принципал»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, с другой стороны, совместно «Стороны», заключили настоящий Договор.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1. ПРЕДМЕТ ДОГОВОРА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Принципал поручает, а Агент за вознаграждение совершает юридические и фактические действия по участию в торгах в интересах Принципала с целью приобретения имущества, реализуемого в процедурах банкротства (ФЗ-127), исполнительного производства (ФЗ-229), по ФЗ-178 (приватизация), ФЗ-44 и ФЗ-223 (закупки).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Конкретные лоты, предельные цены, форма торгов и ЭТП определяются в Поручении Принципала (Приложение № 1) либо в Заявках, направляемых Принципалом по email с корпоративной электронной подписи уполномоченного лица.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Агент действует от имени и за счёт Принципала при наличии нотариальной доверенности или от своего имени за счёт Принципала с последующей передачей прав и имущества.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Объём услуг тождественен Приложению «Состав услуг» (предтендерная аналитика, подготовка и подача заявки, участие в торгах, сопровождение договора купли-продажи, регистрация перехода права, передача Объекта).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2. ОБЯЗАННОСТИ АГЕНТА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Проводить предтендерный due diligence лота: проверка правоустанавливающих документов, выписки ЕГРН, реестра залогов, сведений о банкротстве, обременениях, судебных спорах, сведений из ФССП.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Готовить и подавать заявки на участие в торгах в установленные организатором сроки, с приложением всех необходимых документов, соответствующих требованиям документации торгов.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Вносить ценовые предложения строго в пределах утверждённого Принципалом лимита и шага торгов.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Предоставлять Принципалу еженедельный отчёт о ходе работ с копиями ключевых документов.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Обеспечивать учёт и сохранность первичных документов Принципала, переданных для исполнения Договора.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 завершении поручения передавать Принципалу полный комплект документов: протокол торгов, договор купли-продажи, акт приёма-передачи, выписку ЕГРН о переходе права, налоговые документы.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3. ОБЯЗАННОСТИ ПРИНЦИПАЛА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Предоставить Агенту доверенность по установленной форме, учредительные документы, приказ о назначении руководителя, решение об одобрении крупной сделки (при необходимости), справку об отсутствии задолженности по налогам.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Согласовывать проекты заявок, платёжных поручений и договора купли-продажи в течение 1 рабочего дня с момента получения.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Своевременно перечислять задаток на расчётный счёт организатора торгов с указанием номера лота и процедуры в назначении платежа.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Оплачивать вознаграждение Агента и компенсировать документально подтверждённые расходы в сроки, установленные разделом 4.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Самостоятельно исполнять налоговые обязательства, связанные с приобретённым имуществом. Принципал уведомлён, что операции по реализации имущества и имущественных прав должников, признанных банкротами, не являются объектом обложения НДС (пп. 15 п. 2 ст. 146 НК РФ в ред. ФЗ-366 от 24.11.2014). Покупатель не исчисляет НДС как налоговый агент по такому имуществу. Особый порядок действует при приобретении государственного или муниципального имущества (п. 3 ст. 161 НК РФ): юридическое лицо исчисляет и уплачивает НДС самостоятельно как налоговый агент.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4. ВОЗНАГРАЖДЕНИЕ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Вознаграждение Агента, _____% от цены приобретения Объекта, но не менее _________ рублей за каждый успешно приобретённый лот. НДС не облагается, поскольку Агент применяет УСН (ст. 346.11 НК РФ) и освобождён от НДС по п. 1 ст. 145 НК РФ в ред. ФЗ № 425-ФЗ от 28.11.2025. При переходе Агента на ОСН либо превышении порога освобождения (20 млн рублей дохода в 2026 году) стоимость Услуг увеличивается на сумму НДС по применяемой ставке (основная 22%, либо пониженные ставки УСН 5% / 7%).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Оплата в течение 5 банковских дней с момента подписания акта оказанных услуг и предоставления закрывающих документов.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Компенсация расходов Агента по фактической смете с документальным подтверждением в течение 3 банковских дней.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отзыве Поручения или отказе Принципала от участия в торгах после подачи заявки Агенту выплачивается 50% фиксированной части плюс фактические расходы.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5. ОТВЕТСТВЕННОСТЬ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 просрочку оплаты вознаграждения или компенсации расходов Принципал уплачивает пеню 0,1% от просроченной суммы за каждый день просрочки, но не более 10% от суммы обязательства.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 превышение предельной цены без письменного согласия Принципала Агент возмещает сумму превышения в полном объёме.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 разглашение коммерческой тайны виновная Сторона уплачивает штраф 500 000 рублей сверх возмещения реального ущерба (ст. 139 ГК РФ, ФЗ-98 «О коммерческой тайне»).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Упущенная выгода не возмещается за исключением случаев умысла.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6. СРОК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Договор действует 12 месяцев с автоматической пролонгацией. Любая Сторона вправе расторгнуть Договор с уведомлением за 30 календарных дней.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ОБСТОЯТЕЛЬСТВА НЕПРЕОДОЛИМОЙ СИЛЫ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освобождаются от ответственности за полное или частичное неисполнение обязательств, если оно явилось следствием обстоятельств непреодолимой силы, возникших после заключения Договора, которые Стороны не могли предвидеть и предотвратить разумными мерами (ст. 401 ГК РФ). К таким обстоятельствам относятся: стихийные бедствия, эпидемии с введением ограничений, военные действия, террористические акты, акты органов государственной власти о приостановлении работы ЭТП, банков или регистрирующих органов.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Сторона, для которой стало невозможным исполнение обязательств вследствие форс-мажора, уведомляет другую Сторону в течение 72 часов с момента возникновения обстоятельств. Факт подтверждается документами Торгово-промышленной палаты РФ, МЧС России либо вступившими в силу актами органов государственной власти.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Если форс-мажор длится более 30 календарных дней, любая из Сторон вправе в одностороннем внесудебном порядке отказаться от Договора. Суммы за фактически оказанные услуги и понесённые расходы возврату не подлежат.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Технические сбои оборудования Сторон, перебои интернета менее 4 часов, задержки банковских переводов и нехватка у Стороны денежных средств форс-мажором не признаются.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РАЗРЕШЕНИЕ СПОРОВ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Все споры и разногласия по Договору Стороны разрешают путём переговоров. Сторона, получившая предложение о переговорах, направляет ответ в течение 10 рабочих дней.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Для Договора установлен обязательный претензионный порядок. Срок предъявления претензии 6 месяцев с момента, когда Сторона узнала о нарушении своих прав. Срок ответа на претензию 10 рабочих дней. Претензия направляется заказным письмом с уведомлением или по электронной почте с подтверждением прочтения.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недостижении согласия спор передаётся в суд общей юрисдикции по месту жительства потребителя (ст. 17 ЗоЗПП) или в арбитражный суд по подсудности. Применимое право, право Российской Федерации.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ПЕРСОНАЛЬНЫЕ ДАННЫЕ И КОНФИДЕНЦИАЛЬНОСТЬ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обрабатывают персональные данные исключительно в целях исполнения Договора в соответствии с ФЗ-152 «О персональных данных». В силу ст. 9 ФЗ-152 в редакции Федерального закона № 420-ФЗ от 30.11.2024 (действует с 01.09.2025) согласие на обработку персональных данных оформляется отдельным документом, не совмещённым с другими условиями соглашения (Приложение «Согласие на обработку персональных данных»).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Передача персональных данных третьим лицам допускается в объёме, необходимом для исполнения Договора: организаторам торгов, ЭТП, арбитражным управляющим, нотариусам, Росреестру, банкам, удостоверяющим центрам КЭП, операторам почтовой связи. Перечень третьих лиц указывается в Согласии.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Условия Договора, стратегия участия в торгах, внутренние ценовые лимиты и иная информация, ставшая известной Сторонам, являются конфиденциальной и не подлежат разглашению в течение срока действия Договора и 3 лет после его прекращения.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 умышленное разглашение конфиденциальной информации виновная Сторона возмещает документально подтверждённый реальный ущерб в полном объёме (ст. 15 ГК РФ).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уведомлены об ответственности за нарушение законодательства о персональных данных: административная ответственность по ст. 13.11 КоАП РФ (штраф для юридических лиц от 150 000 до 300 000 рублей по общему составу нарушения, для неоднократных утечек, оборотные штрафы в ред. ФЗ № 420-ФЗ от 30.11.2024, действует с 30.05.2025); уголовная ответственность по ст. 272.1 УК РФ за незаконное использование или распространение персональных данных. Исполнитель обязан уведомить Роскомнадзор об утечке персональных данных в срок 24 часа.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РЕФОРМА ТОРГОВ И БАНКРОТСТВА 2024-2026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РТ.1.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Принципал (Покупатель, Заказчик) уведомлён о масштабной реформе процедуры банкротства и торгов, вступающей в силу поэтапно в 2024-2026 годах: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РТ.1.1.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 29.05.2024, пороговое значение для возбуждения дела о банкротстве юридического лица увеличено с 300 000 до 2 000 000 рублей (ФЗ № 107-ФЗ). Разъяснения в Постановлении Пленума ВС РФ № 40 от 17.12.2024 (65 пунктов);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РТ.1.2.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 08.09.2024, госпошлины по делам о банкротстве для кредиторов: 100 000 рублей для юридических лиц и 10 000 рублей для физических лиц; обособленные споры, 50% от обычной пошлины (ФЗ № 259-ФЗ от 08.08.2024);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РТ.1.3.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 01.03.2025, полный запуск системы электронного банкротства (ФЗ № 227-ФЗ от 08.08.2024): подача заявлений и документов через «Мой арбитр», собрания кредиторов по видеоконференцсвязи с идентификацией через Госуслуги, срок рассмотрения электронных заявлений 5 рабочих дней;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РТ.1.4.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18.06.2025 Президиумом ВС РФ утверждён Обзор судебной практики по делам о банкротстве граждан (65 правовых позиций), 25.04.2025 Обзор за 2024 год; 23.12.2025 Пленум ВС РФ № 41 о требованиях контролирующих должника лиц;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РТ.1.5.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 01.01.2026, отмена обязательной публикации сведений о банкротстве в газете «Коммерсантъ» и в «Вестнике Банка России». Все сообщения публикуются только в ЕФРСБ (bankrot.fedresurs.ru);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РТ.1.6.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 01.01.2026, новые требования к рекламе услуг, связанных с банкротством граждан (ст. 28.1 ФЗ-38 «О рекламе» в ред. ФЗ № 332-ФЗ от 31.07.2025): обязательное предупреждение о негативных последствиях не менее 7% рекламной площади, запрет гарантий освобождения от долгов и призывов не исполнять обязательства;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РТ.1.7.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 01.07.2026, имущественные торги проводятся по единым правилам. Планируется изменение схемы торгов: в рамках одной процедуры цена идёт на повышение, при отсутствии заявок, снижается до первого предложения, затем снова на повышение (отказ от торгов в форме публичного предложения в перспективе);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РТ.1.8.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срок оспаривания сделок должника-банкрота: 1 год (ч. 1 ст. 61.2 ФЗ-127, неравноценное встречное исполнение); 3 года (ч. 2 ст. 61.2 ФЗ-127, с целью причинения вреда кредиторам); 1 или 6 месяцев (ст. 61.3 ФЗ-127, сделки с предпочтением). Срок оспаривания результатов торгов, 1 год с момента, когда лицо узнало о нарушении прав (ст. 449 ГК РФ).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РТ.2.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 силу неустоявшейся правоприменительной практики переходного периода Стороны договариваются о готовности к внесению изменений в Договор при существенном изменении регулирования. Агент (Исполнитель) отслеживает законодательные новеллы и информирует Принципала об их влиянии на исполнение обязательств в срок 10 рабочих дней с момента публикации соответствующего нормативного акта.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ПРОЧИЕ УСЛОВИЯ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Все изменения и дополнения к Договору оформляются в письменной форме путём подписания дополнительного соглашения.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признают юридическую силу документов, направленных по адресам электронной почты и через мессенджер Telegram, указанным в разделе реквизитов. Письменное оформление не позднее 5 рабочих дней с момента переписки.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Договор составлен в 2 экземплярах, имеющих одинаковую юридическую силу, по одному для каждой из Сторон. При оформлении в электронном виде с применением квалифицированных электронных подписей Договор считается заключённым в единственном экземпляре, хранящемся у каждой Стороны.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Во всём, что не урегулировано настоящим Договором, Стороны руководствуются действующим законодательством Российской Федерации.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АДРЕСА, РЕКВИЗИТЫ И ПОДПИСИ СТОРОН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АГЕНТ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Наименование: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ИП Капустин Степан Александрович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590419377214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ОГРНИП: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324595800072592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427620, Удмуртская Республика, г. Глазов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+7 (912) 059-90-59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lotclick@mail.ru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Telegram: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@LOTCLICK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Сайт: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lot-click.ru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Р/с: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Банк: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БИК: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  К/с: 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С.А. Капустин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ПРИНЦИПАЛ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Наименование: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КПП: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ОГРН: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Юр.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Почт.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Р/с: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Банк: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БИК: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К/с: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 лице: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Действует на основании: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</w:tr>
    </w:tbl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e11def6a9b086dce92154835debd50d9a6744366.png"/><Relationship Id="rId10" Type="http://schemas.openxmlformats.org/officeDocument/2006/relationships/image" Target="media/138d511de5ba2b36134d37241733e2703cb4bf44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Агентский договор ЛОТ·КЛИК (юрлицо)</dc:title>
  <dc:creator>ЛОТ·КЛИК</dc:creator>
  <dc:description>Сопровождение корпоративных клиентов в торгах</dc:description>
  <cp:lastModifiedBy>Un-named</cp:lastModifiedBy>
  <cp:revision>1</cp:revision>
  <dcterms:created xsi:type="dcterms:W3CDTF">2026-04-22T07:31:42.511Z</dcterms:created>
  <dcterms:modified xsi:type="dcterms:W3CDTF">2026-04-22T07:31:42.511Z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